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C6D" w:rsidRPr="0038425A" w:rsidRDefault="001344EE">
      <w:bookmarkStart w:id="0" w:name="_GoBack"/>
      <w:bookmarkEnd w:id="0"/>
      <w:r>
        <w:rPr>
          <w:noProof/>
          <w:lang w:val="en-US" w:eastAsia="nl-NL"/>
        </w:rPr>
        <w:drawing>
          <wp:anchor distT="0" distB="0" distL="114300" distR="114300" simplePos="0" relativeHeight="251662336"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1"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9" cstate="print"/>
                    <a:stretch>
                      <a:fillRect/>
                    </a:stretch>
                  </pic:blipFill>
                  <pic:spPr>
                    <a:xfrm>
                      <a:off x="0" y="0"/>
                      <a:ext cx="7550785" cy="5645785"/>
                    </a:xfrm>
                    <a:prstGeom prst="rect">
                      <a:avLst/>
                    </a:prstGeom>
                  </pic:spPr>
                </pic:pic>
              </a:graphicData>
            </a:graphic>
          </wp:anchor>
        </w:drawing>
      </w:r>
      <w:r>
        <w:rPr>
          <w:noProof/>
          <w:lang w:val="en-US" w:eastAsia="nl-NL"/>
        </w:rPr>
        <w:drawing>
          <wp:anchor distT="0" distB="0" distL="114300" distR="114300" simplePos="0" relativeHeight="251659264"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0"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AC7526">
        <w:rPr>
          <w:noProof/>
          <w:lang w:val="en-US" w:eastAsia="nl-NL"/>
        </w:rPr>
        <mc:AlternateContent>
          <mc:Choice Requires="wps">
            <w:drawing>
              <wp:anchor distT="0" distB="0" distL="114935" distR="114935" simplePos="0" relativeHeight="251660288" behindDoc="0" locked="0" layoutInCell="1" allowOverlap="1">
                <wp:simplePos x="0" y="0"/>
                <wp:positionH relativeFrom="page">
                  <wp:posOffset>1604010</wp:posOffset>
                </wp:positionH>
                <wp:positionV relativeFrom="page">
                  <wp:posOffset>3571875</wp:posOffset>
                </wp:positionV>
                <wp:extent cx="4316730" cy="1988185"/>
                <wp:effectExtent l="3810" t="3175" r="0" b="2540"/>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730" cy="1988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29F9" w:rsidRDefault="008F29F9" w:rsidP="00443C6D">
                            <w:pPr>
                              <w:pStyle w:val="Titel"/>
                            </w:pPr>
                          </w:p>
                          <w:p w:rsidR="008F29F9" w:rsidRDefault="008F29F9" w:rsidP="005D01E8">
                            <w:pPr>
                              <w:pStyle w:val="Titel"/>
                            </w:pPr>
                            <w:r>
                              <w:t xml:space="preserve">Handreiking </w:t>
                            </w:r>
                          </w:p>
                          <w:p w:rsidR="008F29F9" w:rsidRPr="005D01E8" w:rsidRDefault="008F29F9" w:rsidP="005D01E8">
                            <w:pPr>
                              <w:pStyle w:val="Titel"/>
                            </w:pPr>
                            <w:r>
                              <w:t>Procesbeschrijving BAG-GBA</w:t>
                            </w:r>
                          </w:p>
                          <w:p w:rsidR="008F29F9" w:rsidRDefault="008F29F9" w:rsidP="00443C6D">
                            <w:pPr>
                              <w:pStyle w:val="Titel"/>
                              <w:rPr>
                                <w:rStyle w:val="Nadruk"/>
                              </w:rPr>
                            </w:pPr>
                          </w:p>
                          <w:p w:rsidR="008F29F9" w:rsidRPr="0004165E" w:rsidRDefault="008F29F9" w:rsidP="00443C6D">
                            <w:pPr>
                              <w:pStyle w:val="Titel"/>
                              <w:rPr>
                                <w:rStyle w:val="Nadruk"/>
                              </w:rPr>
                            </w:pPr>
                            <w:r>
                              <w:rPr>
                                <w:rStyle w:val="Nadruk"/>
                              </w:rPr>
                              <w:t>De samenhang tussen de basisregistraties BAG en GBA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26.3pt;margin-top:281.25pt;width:339.9pt;height:156.55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" stroked="f">
                <v:fill opacity="0"/>
                <v:textbox inset="0,0,0,0">
                  <w:txbxContent>
                    <w:p w:rsidR="008F29F9" w:rsidRDefault="008F29F9" w:rsidP="00443C6D">
                      <w:pPr>
                        <w:pStyle w:val="Titel"/>
                      </w:pPr>
                    </w:p>
                    <w:p w:rsidR="008F29F9" w:rsidRDefault="008F29F9" w:rsidP="005D01E8">
                      <w:pPr>
                        <w:pStyle w:val="Titel"/>
                      </w:pPr>
                      <w:r>
                        <w:t xml:space="preserve">Handreiking </w:t>
                      </w:r>
                    </w:p>
                    <w:p w:rsidR="008F29F9" w:rsidRPr="005D01E8" w:rsidRDefault="008F29F9" w:rsidP="005D01E8">
                      <w:pPr>
                        <w:pStyle w:val="Titel"/>
                      </w:pPr>
                      <w:r>
                        <w:t>Procesbeschrijving BAG-GBA</w:t>
                      </w:r>
                    </w:p>
                    <w:p w:rsidR="008F29F9" w:rsidRDefault="008F29F9" w:rsidP="00443C6D">
                      <w:pPr>
                        <w:pStyle w:val="Titel"/>
                        <w:rPr>
                          <w:rStyle w:val="Nadruk"/>
                        </w:rPr>
                      </w:pPr>
                    </w:p>
                    <w:p w:rsidR="008F29F9" w:rsidRPr="0004165E" w:rsidRDefault="008F29F9" w:rsidP="00443C6D">
                      <w:pPr>
                        <w:pStyle w:val="Titel"/>
                        <w:rPr>
                          <w:rStyle w:val="Nadruk"/>
                        </w:rPr>
                      </w:pPr>
                      <w:r>
                        <w:rPr>
                          <w:rStyle w:val="Nadruk"/>
                        </w:rPr>
                        <w:t>De samenhang tussen de basisregistraties BAG en GBA</w:t>
                      </w:r>
                    </w:p>
                  </w:txbxContent>
                </v:textbox>
                <w10:wrap type="topAndBottom" anchorx="page" anchory="page"/>
              </v:shape>
            </w:pict>
          </mc:Fallback>
        </mc:AlternateContent>
      </w:r>
      <w:r>
        <w:br w:type="page"/>
      </w:r>
    </w:p>
    <w:sdt>
      <w:sdtPr>
        <w:rPr>
          <w:rFonts w:asciiTheme="minorHAnsi" w:eastAsiaTheme="minorHAnsi" w:hAnsiTheme="minorHAnsi" w:cstheme="minorBidi"/>
          <w:b w:val="0"/>
          <w:bCs w:val="0"/>
          <w:color w:val="auto"/>
          <w:sz w:val="22"/>
          <w:szCs w:val="22"/>
        </w:rPr>
        <w:id w:val="27317975"/>
        <w:docPartObj>
          <w:docPartGallery w:val="Table of Contents"/>
          <w:docPartUnique/>
        </w:docPartObj>
      </w:sdtPr>
      <w:sdtEndPr/>
      <w:sdtContent>
        <w:p w:rsidR="00443C6D" w:rsidRDefault="001344EE">
          <w:pPr>
            <w:pStyle w:val="Kopvaninhoudsopgave"/>
          </w:pPr>
          <w:r w:rsidRPr="0038425A">
            <w:rPr>
              <w:rStyle w:val="TitelTeken"/>
            </w:rPr>
            <w:t>Inhoud</w:t>
          </w:r>
        </w:p>
        <w:p w:rsidR="0028123E" w:rsidRDefault="00F34DE6">
          <w:pPr>
            <w:pStyle w:val="Inhopg1"/>
            <w:tabs>
              <w:tab w:val="left" w:pos="362"/>
              <w:tab w:val="right" w:leader="dot" w:pos="9062"/>
            </w:tabs>
            <w:rPr>
              <w:rFonts w:eastAsiaTheme="minorEastAsia"/>
              <w:noProof/>
              <w:sz w:val="24"/>
              <w:szCs w:val="24"/>
              <w:lang w:eastAsia="nl-NL"/>
            </w:rPr>
          </w:pPr>
          <w:r>
            <w:fldChar w:fldCharType="begin"/>
          </w:r>
          <w:r w:rsidR="001344EE">
            <w:instrText xml:space="preserve"> TOC \o "1-3" \h \z \u </w:instrText>
          </w:r>
          <w:r>
            <w:fldChar w:fldCharType="separate"/>
          </w:r>
          <w:r w:rsidR="0028123E">
            <w:rPr>
              <w:noProof/>
            </w:rPr>
            <w:t>1</w:t>
          </w:r>
          <w:r w:rsidR="0028123E">
            <w:rPr>
              <w:rFonts w:eastAsiaTheme="minorEastAsia"/>
              <w:noProof/>
              <w:sz w:val="24"/>
              <w:szCs w:val="24"/>
              <w:lang w:eastAsia="nl-NL"/>
            </w:rPr>
            <w:tab/>
          </w:r>
          <w:r w:rsidR="0028123E">
            <w:rPr>
              <w:noProof/>
            </w:rPr>
            <w:t>Inleiding</w:t>
          </w:r>
          <w:r w:rsidR="0028123E">
            <w:rPr>
              <w:noProof/>
            </w:rPr>
            <w:tab/>
          </w:r>
          <w:r w:rsidR="0028123E">
            <w:rPr>
              <w:noProof/>
            </w:rPr>
            <w:fldChar w:fldCharType="begin"/>
          </w:r>
          <w:r w:rsidR="0028123E">
            <w:rPr>
              <w:noProof/>
            </w:rPr>
            <w:instrText xml:space="preserve"> PAGEREF _Toc161406688 \h </w:instrText>
          </w:r>
          <w:r w:rsidR="0028123E">
            <w:rPr>
              <w:noProof/>
            </w:rPr>
          </w:r>
          <w:r w:rsidR="0028123E">
            <w:rPr>
              <w:noProof/>
            </w:rPr>
            <w:fldChar w:fldCharType="separate"/>
          </w:r>
          <w:r w:rsidR="0028123E">
            <w:rPr>
              <w:noProof/>
            </w:rPr>
            <w:t>4</w:t>
          </w:r>
          <w:r w:rsidR="0028123E">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1.1</w:t>
          </w:r>
          <w:r>
            <w:rPr>
              <w:rFonts w:eastAsiaTheme="minorEastAsia"/>
              <w:noProof/>
              <w:sz w:val="24"/>
              <w:szCs w:val="24"/>
              <w:lang w:eastAsia="nl-NL"/>
            </w:rPr>
            <w:tab/>
          </w:r>
          <w:r>
            <w:rPr>
              <w:noProof/>
            </w:rPr>
            <w:t>Doel van deze handreiking</w:t>
          </w:r>
          <w:r>
            <w:rPr>
              <w:noProof/>
            </w:rPr>
            <w:tab/>
          </w:r>
          <w:r>
            <w:rPr>
              <w:noProof/>
            </w:rPr>
            <w:fldChar w:fldCharType="begin"/>
          </w:r>
          <w:r>
            <w:rPr>
              <w:noProof/>
            </w:rPr>
            <w:instrText xml:space="preserve"> PAGEREF _Toc161406689 \h </w:instrText>
          </w:r>
          <w:r>
            <w:rPr>
              <w:noProof/>
            </w:rPr>
          </w:r>
          <w:r>
            <w:rPr>
              <w:noProof/>
            </w:rPr>
            <w:fldChar w:fldCharType="separate"/>
          </w:r>
          <w:r>
            <w:rPr>
              <w:noProof/>
            </w:rPr>
            <w:t>4</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1.2</w:t>
          </w:r>
          <w:r>
            <w:rPr>
              <w:rFonts w:eastAsiaTheme="minorEastAsia"/>
              <w:noProof/>
              <w:sz w:val="24"/>
              <w:szCs w:val="24"/>
              <w:lang w:eastAsia="nl-NL"/>
            </w:rPr>
            <w:tab/>
          </w:r>
          <w:r>
            <w:rPr>
              <w:noProof/>
            </w:rPr>
            <w:t>Opbouw van de handreiking</w:t>
          </w:r>
          <w:r>
            <w:rPr>
              <w:noProof/>
            </w:rPr>
            <w:tab/>
          </w:r>
          <w:r>
            <w:rPr>
              <w:noProof/>
            </w:rPr>
            <w:fldChar w:fldCharType="begin"/>
          </w:r>
          <w:r>
            <w:rPr>
              <w:noProof/>
            </w:rPr>
            <w:instrText xml:space="preserve"> PAGEREF _Toc161406690 \h </w:instrText>
          </w:r>
          <w:r>
            <w:rPr>
              <w:noProof/>
            </w:rPr>
          </w:r>
          <w:r>
            <w:rPr>
              <w:noProof/>
            </w:rPr>
            <w:fldChar w:fldCharType="separate"/>
          </w:r>
          <w:r>
            <w:rPr>
              <w:noProof/>
            </w:rPr>
            <w:t>5</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2</w:t>
          </w:r>
          <w:r>
            <w:rPr>
              <w:rFonts w:eastAsiaTheme="minorEastAsia"/>
              <w:noProof/>
              <w:sz w:val="24"/>
              <w:szCs w:val="24"/>
              <w:lang w:eastAsia="nl-NL"/>
            </w:rPr>
            <w:tab/>
          </w:r>
          <w:r>
            <w:rPr>
              <w:noProof/>
            </w:rPr>
            <w:t>Uitgangspunten en scope</w:t>
          </w:r>
          <w:r>
            <w:rPr>
              <w:noProof/>
            </w:rPr>
            <w:tab/>
          </w:r>
          <w:r>
            <w:rPr>
              <w:noProof/>
            </w:rPr>
            <w:fldChar w:fldCharType="begin"/>
          </w:r>
          <w:r>
            <w:rPr>
              <w:noProof/>
            </w:rPr>
            <w:instrText xml:space="preserve"> PAGEREF _Toc161406691 \h </w:instrText>
          </w:r>
          <w:r>
            <w:rPr>
              <w:noProof/>
            </w:rPr>
          </w:r>
          <w:r>
            <w:rPr>
              <w:noProof/>
            </w:rPr>
            <w:fldChar w:fldCharType="separate"/>
          </w:r>
          <w:r>
            <w:rPr>
              <w:noProof/>
            </w:rPr>
            <w:t>6</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2.1</w:t>
          </w:r>
          <w:r>
            <w:rPr>
              <w:rFonts w:eastAsiaTheme="minorEastAsia"/>
              <w:noProof/>
              <w:sz w:val="24"/>
              <w:szCs w:val="24"/>
              <w:lang w:eastAsia="nl-NL"/>
            </w:rPr>
            <w:tab/>
          </w:r>
          <w:r>
            <w:rPr>
              <w:noProof/>
            </w:rPr>
            <w:t>Uitgangspunten en randvoorwaarden</w:t>
          </w:r>
          <w:r>
            <w:rPr>
              <w:noProof/>
            </w:rPr>
            <w:tab/>
          </w:r>
          <w:r>
            <w:rPr>
              <w:noProof/>
            </w:rPr>
            <w:fldChar w:fldCharType="begin"/>
          </w:r>
          <w:r>
            <w:rPr>
              <w:noProof/>
            </w:rPr>
            <w:instrText xml:space="preserve"> PAGEREF _Toc161406692 \h </w:instrText>
          </w:r>
          <w:r>
            <w:rPr>
              <w:noProof/>
            </w:rPr>
          </w:r>
          <w:r>
            <w:rPr>
              <w:noProof/>
            </w:rPr>
            <w:fldChar w:fldCharType="separate"/>
          </w:r>
          <w:r>
            <w:rPr>
              <w:noProof/>
            </w:rPr>
            <w:t>6</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2.2</w:t>
          </w:r>
          <w:r>
            <w:rPr>
              <w:rFonts w:eastAsiaTheme="minorEastAsia"/>
              <w:noProof/>
              <w:sz w:val="24"/>
              <w:szCs w:val="24"/>
              <w:lang w:eastAsia="nl-NL"/>
            </w:rPr>
            <w:tab/>
          </w:r>
          <w:r>
            <w:rPr>
              <w:noProof/>
            </w:rPr>
            <w:t>Scope en positionering van de processen</w:t>
          </w:r>
          <w:r>
            <w:rPr>
              <w:noProof/>
            </w:rPr>
            <w:tab/>
          </w:r>
          <w:r>
            <w:rPr>
              <w:noProof/>
            </w:rPr>
            <w:fldChar w:fldCharType="begin"/>
          </w:r>
          <w:r>
            <w:rPr>
              <w:noProof/>
            </w:rPr>
            <w:instrText xml:space="preserve"> PAGEREF _Toc161406693 \h </w:instrText>
          </w:r>
          <w:r>
            <w:rPr>
              <w:noProof/>
            </w:rPr>
          </w:r>
          <w:r>
            <w:rPr>
              <w:noProof/>
            </w:rPr>
            <w:fldChar w:fldCharType="separate"/>
          </w:r>
          <w:r>
            <w:rPr>
              <w:noProof/>
            </w:rPr>
            <w:t>8</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2.3</w:t>
          </w:r>
          <w:r>
            <w:rPr>
              <w:rFonts w:eastAsiaTheme="minorEastAsia"/>
              <w:noProof/>
              <w:sz w:val="24"/>
              <w:szCs w:val="24"/>
              <w:lang w:eastAsia="nl-NL"/>
            </w:rPr>
            <w:tab/>
          </w:r>
          <w:r>
            <w:rPr>
              <w:noProof/>
            </w:rPr>
            <w:t>De gemeentelijke processen rondom de basisregistraties</w:t>
          </w:r>
          <w:r>
            <w:rPr>
              <w:noProof/>
            </w:rPr>
            <w:tab/>
          </w:r>
          <w:r>
            <w:rPr>
              <w:noProof/>
            </w:rPr>
            <w:fldChar w:fldCharType="begin"/>
          </w:r>
          <w:r>
            <w:rPr>
              <w:noProof/>
            </w:rPr>
            <w:instrText xml:space="preserve"> PAGEREF _Toc161406694 \h </w:instrText>
          </w:r>
          <w:r>
            <w:rPr>
              <w:noProof/>
            </w:rPr>
          </w:r>
          <w:r>
            <w:rPr>
              <w:noProof/>
            </w:rPr>
            <w:fldChar w:fldCharType="separate"/>
          </w:r>
          <w:r>
            <w:rPr>
              <w:noProof/>
            </w:rPr>
            <w:t>9</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3</w:t>
          </w:r>
          <w:r>
            <w:rPr>
              <w:rFonts w:eastAsiaTheme="minorEastAsia"/>
              <w:noProof/>
              <w:sz w:val="24"/>
              <w:szCs w:val="24"/>
              <w:lang w:eastAsia="nl-NL"/>
            </w:rPr>
            <w:tab/>
          </w:r>
          <w:r>
            <w:rPr>
              <w:noProof/>
            </w:rPr>
            <w:t>Processen voor de BAG en de GBA</w:t>
          </w:r>
          <w:r>
            <w:rPr>
              <w:noProof/>
            </w:rPr>
            <w:tab/>
          </w:r>
          <w:r>
            <w:rPr>
              <w:noProof/>
            </w:rPr>
            <w:fldChar w:fldCharType="begin"/>
          </w:r>
          <w:r>
            <w:rPr>
              <w:noProof/>
            </w:rPr>
            <w:instrText xml:space="preserve"> PAGEREF _Toc161406695 \h </w:instrText>
          </w:r>
          <w:r>
            <w:rPr>
              <w:noProof/>
            </w:rPr>
          </w:r>
          <w:r>
            <w:rPr>
              <w:noProof/>
            </w:rPr>
            <w:fldChar w:fldCharType="separate"/>
          </w:r>
          <w:r>
            <w:rPr>
              <w:noProof/>
            </w:rPr>
            <w:t>10</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3.1</w:t>
          </w:r>
          <w:r>
            <w:rPr>
              <w:rFonts w:eastAsiaTheme="minorEastAsia"/>
              <w:noProof/>
              <w:sz w:val="24"/>
              <w:szCs w:val="24"/>
              <w:lang w:eastAsia="nl-NL"/>
            </w:rPr>
            <w:tab/>
          </w:r>
          <w:r>
            <w:rPr>
              <w:noProof/>
            </w:rPr>
            <w:t>Overzicht samenhang BAG en GBA</w:t>
          </w:r>
          <w:r>
            <w:rPr>
              <w:noProof/>
            </w:rPr>
            <w:tab/>
          </w:r>
          <w:r>
            <w:rPr>
              <w:noProof/>
            </w:rPr>
            <w:fldChar w:fldCharType="begin"/>
          </w:r>
          <w:r>
            <w:rPr>
              <w:noProof/>
            </w:rPr>
            <w:instrText xml:space="preserve"> PAGEREF _Toc161406696 \h </w:instrText>
          </w:r>
          <w:r>
            <w:rPr>
              <w:noProof/>
            </w:rPr>
          </w:r>
          <w:r>
            <w:rPr>
              <w:noProof/>
            </w:rPr>
            <w:fldChar w:fldCharType="separate"/>
          </w:r>
          <w:r>
            <w:rPr>
              <w:noProof/>
            </w:rPr>
            <w:t>10</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3.2</w:t>
          </w:r>
          <w:r>
            <w:rPr>
              <w:rFonts w:eastAsiaTheme="minorEastAsia"/>
              <w:noProof/>
              <w:sz w:val="24"/>
              <w:szCs w:val="24"/>
              <w:lang w:eastAsia="nl-NL"/>
            </w:rPr>
            <w:tab/>
          </w:r>
          <w:r>
            <w:rPr>
              <w:noProof/>
            </w:rPr>
            <w:t>Processtappen ‘Inschrijven in de GBA’ en ‘Verstrekken adres’</w:t>
          </w:r>
          <w:r>
            <w:rPr>
              <w:noProof/>
            </w:rPr>
            <w:tab/>
          </w:r>
          <w:r>
            <w:rPr>
              <w:noProof/>
            </w:rPr>
            <w:fldChar w:fldCharType="begin"/>
          </w:r>
          <w:r>
            <w:rPr>
              <w:noProof/>
            </w:rPr>
            <w:instrText xml:space="preserve"> PAGEREF _Toc161406697 \h </w:instrText>
          </w:r>
          <w:r>
            <w:rPr>
              <w:noProof/>
            </w:rPr>
          </w:r>
          <w:r>
            <w:rPr>
              <w:noProof/>
            </w:rPr>
            <w:fldChar w:fldCharType="separate"/>
          </w:r>
          <w:r>
            <w:rPr>
              <w:noProof/>
            </w:rPr>
            <w:t>11</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3.3</w:t>
          </w:r>
          <w:r>
            <w:rPr>
              <w:rFonts w:eastAsiaTheme="minorEastAsia"/>
              <w:noProof/>
              <w:sz w:val="24"/>
              <w:szCs w:val="24"/>
              <w:lang w:eastAsia="nl-NL"/>
            </w:rPr>
            <w:tab/>
          </w:r>
          <w:r>
            <w:rPr>
              <w:noProof/>
            </w:rPr>
            <w:t>Processtap ‘Behandelen terugmelding’</w:t>
          </w:r>
          <w:r>
            <w:rPr>
              <w:noProof/>
            </w:rPr>
            <w:tab/>
          </w:r>
          <w:r>
            <w:rPr>
              <w:noProof/>
            </w:rPr>
            <w:fldChar w:fldCharType="begin"/>
          </w:r>
          <w:r>
            <w:rPr>
              <w:noProof/>
            </w:rPr>
            <w:instrText xml:space="preserve"> PAGEREF _Toc161406698 \h </w:instrText>
          </w:r>
          <w:r>
            <w:rPr>
              <w:noProof/>
            </w:rPr>
          </w:r>
          <w:r>
            <w:rPr>
              <w:noProof/>
            </w:rPr>
            <w:fldChar w:fldCharType="separate"/>
          </w:r>
          <w:r>
            <w:rPr>
              <w:noProof/>
            </w:rPr>
            <w:t>14</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3.4</w:t>
          </w:r>
          <w:r>
            <w:rPr>
              <w:rFonts w:eastAsiaTheme="minorEastAsia"/>
              <w:noProof/>
              <w:sz w:val="24"/>
              <w:szCs w:val="24"/>
              <w:lang w:eastAsia="nl-NL"/>
            </w:rPr>
            <w:tab/>
          </w:r>
          <w:r>
            <w:rPr>
              <w:noProof/>
            </w:rPr>
            <w:t>Processtap ‘Verwerken terugmelding’</w:t>
          </w:r>
          <w:r>
            <w:rPr>
              <w:noProof/>
            </w:rPr>
            <w:tab/>
          </w:r>
          <w:r>
            <w:rPr>
              <w:noProof/>
            </w:rPr>
            <w:fldChar w:fldCharType="begin"/>
          </w:r>
          <w:r>
            <w:rPr>
              <w:noProof/>
            </w:rPr>
            <w:instrText xml:space="preserve"> PAGEREF _Toc161406699 \h </w:instrText>
          </w:r>
          <w:r>
            <w:rPr>
              <w:noProof/>
            </w:rPr>
          </w:r>
          <w:r>
            <w:rPr>
              <w:noProof/>
            </w:rPr>
            <w:fldChar w:fldCharType="separate"/>
          </w:r>
          <w:r>
            <w:rPr>
              <w:noProof/>
            </w:rPr>
            <w:t>16</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3.5</w:t>
          </w:r>
          <w:r>
            <w:rPr>
              <w:rFonts w:eastAsiaTheme="minorEastAsia"/>
              <w:noProof/>
              <w:sz w:val="24"/>
              <w:szCs w:val="24"/>
              <w:lang w:eastAsia="nl-NL"/>
            </w:rPr>
            <w:tab/>
          </w:r>
          <w:r>
            <w:rPr>
              <w:noProof/>
            </w:rPr>
            <w:t>Processtappen ‘Opvoeren mutaties’ en ‘Signalen verwerken’</w:t>
          </w:r>
          <w:r>
            <w:rPr>
              <w:noProof/>
            </w:rPr>
            <w:tab/>
          </w:r>
          <w:r>
            <w:rPr>
              <w:noProof/>
            </w:rPr>
            <w:fldChar w:fldCharType="begin"/>
          </w:r>
          <w:r>
            <w:rPr>
              <w:noProof/>
            </w:rPr>
            <w:instrText xml:space="preserve"> PAGEREF _Toc161406700 \h </w:instrText>
          </w:r>
          <w:r>
            <w:rPr>
              <w:noProof/>
            </w:rPr>
          </w:r>
          <w:r>
            <w:rPr>
              <w:noProof/>
            </w:rPr>
            <w:fldChar w:fldCharType="separate"/>
          </w:r>
          <w:r>
            <w:rPr>
              <w:noProof/>
            </w:rPr>
            <w:t>17</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4</w:t>
          </w:r>
          <w:r>
            <w:rPr>
              <w:rFonts w:eastAsiaTheme="minorEastAsia"/>
              <w:noProof/>
              <w:sz w:val="24"/>
              <w:szCs w:val="24"/>
              <w:lang w:eastAsia="nl-NL"/>
            </w:rPr>
            <w:tab/>
          </w:r>
          <w:r>
            <w:rPr>
              <w:noProof/>
            </w:rPr>
            <w:t>Gegevensuitwisseling en berichtenverkeer</w:t>
          </w:r>
          <w:r>
            <w:rPr>
              <w:noProof/>
            </w:rPr>
            <w:tab/>
          </w:r>
          <w:r>
            <w:rPr>
              <w:noProof/>
            </w:rPr>
            <w:fldChar w:fldCharType="begin"/>
          </w:r>
          <w:r>
            <w:rPr>
              <w:noProof/>
            </w:rPr>
            <w:instrText xml:space="preserve"> PAGEREF _Toc161406701 \h </w:instrText>
          </w:r>
          <w:r>
            <w:rPr>
              <w:noProof/>
            </w:rPr>
          </w:r>
          <w:r>
            <w:rPr>
              <w:noProof/>
            </w:rPr>
            <w:fldChar w:fldCharType="separate"/>
          </w:r>
          <w:r>
            <w:rPr>
              <w:noProof/>
            </w:rPr>
            <w:t>21</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4.1</w:t>
          </w:r>
          <w:r>
            <w:rPr>
              <w:rFonts w:eastAsiaTheme="minorEastAsia"/>
              <w:noProof/>
              <w:sz w:val="24"/>
              <w:szCs w:val="24"/>
              <w:lang w:eastAsia="nl-NL"/>
            </w:rPr>
            <w:tab/>
          </w:r>
          <w:r>
            <w:rPr>
              <w:noProof/>
            </w:rPr>
            <w:t>Gegevensuitwisseling tussen de GBA en de BAG</w:t>
          </w:r>
          <w:r>
            <w:rPr>
              <w:noProof/>
            </w:rPr>
            <w:tab/>
          </w:r>
          <w:r>
            <w:rPr>
              <w:noProof/>
            </w:rPr>
            <w:fldChar w:fldCharType="begin"/>
          </w:r>
          <w:r>
            <w:rPr>
              <w:noProof/>
            </w:rPr>
            <w:instrText xml:space="preserve"> PAGEREF _Toc161406702 \h </w:instrText>
          </w:r>
          <w:r>
            <w:rPr>
              <w:noProof/>
            </w:rPr>
          </w:r>
          <w:r>
            <w:rPr>
              <w:noProof/>
            </w:rPr>
            <w:fldChar w:fldCharType="separate"/>
          </w:r>
          <w:r>
            <w:rPr>
              <w:noProof/>
            </w:rPr>
            <w:t>21</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4.2</w:t>
          </w:r>
          <w:r>
            <w:rPr>
              <w:rFonts w:eastAsiaTheme="minorEastAsia"/>
              <w:noProof/>
              <w:sz w:val="24"/>
              <w:szCs w:val="24"/>
              <w:lang w:eastAsia="nl-NL"/>
            </w:rPr>
            <w:tab/>
          </w:r>
          <w:r>
            <w:rPr>
              <w:noProof/>
            </w:rPr>
            <w:t>Benodigde en gedefinieerde berichten</w:t>
          </w:r>
          <w:r>
            <w:rPr>
              <w:noProof/>
            </w:rPr>
            <w:tab/>
          </w:r>
          <w:r>
            <w:rPr>
              <w:noProof/>
            </w:rPr>
            <w:fldChar w:fldCharType="begin"/>
          </w:r>
          <w:r>
            <w:rPr>
              <w:noProof/>
            </w:rPr>
            <w:instrText xml:space="preserve"> PAGEREF _Toc161406703 \h </w:instrText>
          </w:r>
          <w:r>
            <w:rPr>
              <w:noProof/>
            </w:rPr>
          </w:r>
          <w:r>
            <w:rPr>
              <w:noProof/>
            </w:rPr>
            <w:fldChar w:fldCharType="separate"/>
          </w:r>
          <w:r>
            <w:rPr>
              <w:noProof/>
            </w:rPr>
            <w:t>22</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4.3</w:t>
          </w:r>
          <w:r>
            <w:rPr>
              <w:rFonts w:eastAsiaTheme="minorEastAsia"/>
              <w:noProof/>
              <w:sz w:val="24"/>
              <w:szCs w:val="24"/>
              <w:lang w:eastAsia="nl-NL"/>
            </w:rPr>
            <w:tab/>
          </w:r>
          <w:r>
            <w:rPr>
              <w:noProof/>
            </w:rPr>
            <w:t>De samenhang tussen processen, gebeurtenissen en koppelvlak</w:t>
          </w:r>
          <w:r>
            <w:rPr>
              <w:noProof/>
            </w:rPr>
            <w:tab/>
          </w:r>
          <w:r>
            <w:rPr>
              <w:noProof/>
            </w:rPr>
            <w:fldChar w:fldCharType="begin"/>
          </w:r>
          <w:r>
            <w:rPr>
              <w:noProof/>
            </w:rPr>
            <w:instrText xml:space="preserve"> PAGEREF _Toc161406704 \h </w:instrText>
          </w:r>
          <w:r>
            <w:rPr>
              <w:noProof/>
            </w:rPr>
          </w:r>
          <w:r>
            <w:rPr>
              <w:noProof/>
            </w:rPr>
            <w:fldChar w:fldCharType="separate"/>
          </w:r>
          <w:r>
            <w:rPr>
              <w:noProof/>
            </w:rPr>
            <w:t>23</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5</w:t>
          </w:r>
          <w:r>
            <w:rPr>
              <w:rFonts w:eastAsiaTheme="minorEastAsia"/>
              <w:noProof/>
              <w:sz w:val="24"/>
              <w:szCs w:val="24"/>
              <w:lang w:eastAsia="nl-NL"/>
            </w:rPr>
            <w:tab/>
          </w:r>
          <w:r>
            <w:rPr>
              <w:noProof/>
            </w:rPr>
            <w:t>Bijlage A. Toelichting uitgangspunten</w:t>
          </w:r>
          <w:r>
            <w:rPr>
              <w:noProof/>
            </w:rPr>
            <w:tab/>
          </w:r>
          <w:r>
            <w:rPr>
              <w:noProof/>
            </w:rPr>
            <w:fldChar w:fldCharType="begin"/>
          </w:r>
          <w:r>
            <w:rPr>
              <w:noProof/>
            </w:rPr>
            <w:instrText xml:space="preserve"> PAGEREF _Toc161406705 \h </w:instrText>
          </w:r>
          <w:r>
            <w:rPr>
              <w:noProof/>
            </w:rPr>
          </w:r>
          <w:r>
            <w:rPr>
              <w:noProof/>
            </w:rPr>
            <w:fldChar w:fldCharType="separate"/>
          </w:r>
          <w:r>
            <w:rPr>
              <w:noProof/>
            </w:rPr>
            <w:t>25</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6</w:t>
          </w:r>
          <w:r>
            <w:rPr>
              <w:rFonts w:eastAsiaTheme="minorEastAsia"/>
              <w:noProof/>
              <w:sz w:val="24"/>
              <w:szCs w:val="24"/>
              <w:lang w:eastAsia="nl-NL"/>
            </w:rPr>
            <w:tab/>
          </w:r>
          <w:r>
            <w:rPr>
              <w:noProof/>
            </w:rPr>
            <w:t>Bijlage B, Codering BAG-gebeurtenissen</w:t>
          </w:r>
          <w:r>
            <w:rPr>
              <w:noProof/>
            </w:rPr>
            <w:tab/>
          </w:r>
          <w:r>
            <w:rPr>
              <w:noProof/>
            </w:rPr>
            <w:fldChar w:fldCharType="begin"/>
          </w:r>
          <w:r>
            <w:rPr>
              <w:noProof/>
            </w:rPr>
            <w:instrText xml:space="preserve"> PAGEREF _Toc161406706 \h </w:instrText>
          </w:r>
          <w:r>
            <w:rPr>
              <w:noProof/>
            </w:rPr>
          </w:r>
          <w:r>
            <w:rPr>
              <w:noProof/>
            </w:rPr>
            <w:fldChar w:fldCharType="separate"/>
          </w:r>
          <w:r>
            <w:rPr>
              <w:noProof/>
            </w:rPr>
            <w:t>28</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7</w:t>
          </w:r>
          <w:r>
            <w:rPr>
              <w:rFonts w:eastAsiaTheme="minorEastAsia"/>
              <w:noProof/>
              <w:sz w:val="24"/>
              <w:szCs w:val="24"/>
              <w:lang w:eastAsia="nl-NL"/>
            </w:rPr>
            <w:tab/>
          </w:r>
          <w:r>
            <w:rPr>
              <w:noProof/>
            </w:rPr>
            <w:t>Bijlage C, Legenda processchema’s</w:t>
          </w:r>
          <w:r>
            <w:rPr>
              <w:noProof/>
            </w:rPr>
            <w:tab/>
          </w:r>
          <w:r>
            <w:rPr>
              <w:noProof/>
            </w:rPr>
            <w:fldChar w:fldCharType="begin"/>
          </w:r>
          <w:r>
            <w:rPr>
              <w:noProof/>
            </w:rPr>
            <w:instrText xml:space="preserve"> PAGEREF _Toc161406707 \h </w:instrText>
          </w:r>
          <w:r>
            <w:rPr>
              <w:noProof/>
            </w:rPr>
          </w:r>
          <w:r>
            <w:rPr>
              <w:noProof/>
            </w:rPr>
            <w:fldChar w:fldCharType="separate"/>
          </w:r>
          <w:r>
            <w:rPr>
              <w:noProof/>
            </w:rPr>
            <w:t>30</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8</w:t>
          </w:r>
          <w:r>
            <w:rPr>
              <w:rFonts w:eastAsiaTheme="minorEastAsia"/>
              <w:noProof/>
              <w:sz w:val="24"/>
              <w:szCs w:val="24"/>
              <w:lang w:eastAsia="nl-NL"/>
            </w:rPr>
            <w:tab/>
          </w:r>
          <w:r>
            <w:rPr>
              <w:noProof/>
            </w:rPr>
            <w:t>Bijlage D, Achtergrond basisregistraties</w:t>
          </w:r>
          <w:r>
            <w:rPr>
              <w:noProof/>
            </w:rPr>
            <w:tab/>
          </w:r>
          <w:r>
            <w:rPr>
              <w:noProof/>
            </w:rPr>
            <w:fldChar w:fldCharType="begin"/>
          </w:r>
          <w:r>
            <w:rPr>
              <w:noProof/>
            </w:rPr>
            <w:instrText xml:space="preserve"> PAGEREF _Toc161406708 \h </w:instrText>
          </w:r>
          <w:r>
            <w:rPr>
              <w:noProof/>
            </w:rPr>
          </w:r>
          <w:r>
            <w:rPr>
              <w:noProof/>
            </w:rPr>
            <w:fldChar w:fldCharType="separate"/>
          </w:r>
          <w:r>
            <w:rPr>
              <w:noProof/>
            </w:rPr>
            <w:t>31</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8.1</w:t>
          </w:r>
          <w:r>
            <w:rPr>
              <w:rFonts w:eastAsiaTheme="minorEastAsia"/>
              <w:noProof/>
              <w:sz w:val="24"/>
              <w:szCs w:val="24"/>
              <w:lang w:eastAsia="nl-NL"/>
            </w:rPr>
            <w:tab/>
          </w:r>
          <w:r>
            <w:rPr>
              <w:noProof/>
            </w:rPr>
            <w:t>Het Stelsel van Basisregistraties</w:t>
          </w:r>
          <w:r>
            <w:rPr>
              <w:noProof/>
            </w:rPr>
            <w:tab/>
          </w:r>
          <w:r>
            <w:rPr>
              <w:noProof/>
            </w:rPr>
            <w:fldChar w:fldCharType="begin"/>
          </w:r>
          <w:r>
            <w:rPr>
              <w:noProof/>
            </w:rPr>
            <w:instrText xml:space="preserve"> PAGEREF _Toc161406709 \h </w:instrText>
          </w:r>
          <w:r>
            <w:rPr>
              <w:noProof/>
            </w:rPr>
          </w:r>
          <w:r>
            <w:rPr>
              <w:noProof/>
            </w:rPr>
            <w:fldChar w:fldCharType="separate"/>
          </w:r>
          <w:r>
            <w:rPr>
              <w:noProof/>
            </w:rPr>
            <w:t>31</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8.2</w:t>
          </w:r>
          <w:r>
            <w:rPr>
              <w:rFonts w:eastAsiaTheme="minorEastAsia"/>
              <w:noProof/>
              <w:sz w:val="24"/>
              <w:szCs w:val="24"/>
              <w:lang w:eastAsia="nl-NL"/>
            </w:rPr>
            <w:tab/>
          </w:r>
          <w:r>
            <w:rPr>
              <w:noProof/>
            </w:rPr>
            <w:t>De rol van gemeenten bij de basisregistraties</w:t>
          </w:r>
          <w:r>
            <w:rPr>
              <w:noProof/>
            </w:rPr>
            <w:tab/>
          </w:r>
          <w:r>
            <w:rPr>
              <w:noProof/>
            </w:rPr>
            <w:fldChar w:fldCharType="begin"/>
          </w:r>
          <w:r>
            <w:rPr>
              <w:noProof/>
            </w:rPr>
            <w:instrText xml:space="preserve"> PAGEREF _Toc161406710 \h </w:instrText>
          </w:r>
          <w:r>
            <w:rPr>
              <w:noProof/>
            </w:rPr>
          </w:r>
          <w:r>
            <w:rPr>
              <w:noProof/>
            </w:rPr>
            <w:fldChar w:fldCharType="separate"/>
          </w:r>
          <w:r>
            <w:rPr>
              <w:noProof/>
            </w:rPr>
            <w:t>32</w:t>
          </w:r>
          <w:r>
            <w:rPr>
              <w:noProof/>
            </w:rPr>
            <w:fldChar w:fldCharType="end"/>
          </w:r>
        </w:p>
        <w:p w:rsidR="0028123E" w:rsidRDefault="0028123E">
          <w:pPr>
            <w:pStyle w:val="Inhopg2"/>
            <w:tabs>
              <w:tab w:val="left" w:pos="749"/>
              <w:tab w:val="right" w:leader="dot" w:pos="9062"/>
            </w:tabs>
            <w:rPr>
              <w:rFonts w:eastAsiaTheme="minorEastAsia"/>
              <w:noProof/>
              <w:sz w:val="24"/>
              <w:szCs w:val="24"/>
              <w:lang w:eastAsia="nl-NL"/>
            </w:rPr>
          </w:pPr>
          <w:r>
            <w:rPr>
              <w:noProof/>
            </w:rPr>
            <w:t>8.3</w:t>
          </w:r>
          <w:r>
            <w:rPr>
              <w:rFonts w:eastAsiaTheme="minorEastAsia"/>
              <w:noProof/>
              <w:sz w:val="24"/>
              <w:szCs w:val="24"/>
              <w:lang w:eastAsia="nl-NL"/>
            </w:rPr>
            <w:tab/>
          </w:r>
          <w:r>
            <w:rPr>
              <w:noProof/>
            </w:rPr>
            <w:t>Gemeentelijke en landelijke basisregistraties</w:t>
          </w:r>
          <w:r>
            <w:rPr>
              <w:noProof/>
            </w:rPr>
            <w:tab/>
          </w:r>
          <w:r>
            <w:rPr>
              <w:noProof/>
            </w:rPr>
            <w:fldChar w:fldCharType="begin"/>
          </w:r>
          <w:r>
            <w:rPr>
              <w:noProof/>
            </w:rPr>
            <w:instrText xml:space="preserve"> PAGEREF _Toc161406711 \h </w:instrText>
          </w:r>
          <w:r>
            <w:rPr>
              <w:noProof/>
            </w:rPr>
          </w:r>
          <w:r>
            <w:rPr>
              <w:noProof/>
            </w:rPr>
            <w:fldChar w:fldCharType="separate"/>
          </w:r>
          <w:r>
            <w:rPr>
              <w:noProof/>
            </w:rPr>
            <w:t>33</w:t>
          </w:r>
          <w:r>
            <w:rPr>
              <w:noProof/>
            </w:rPr>
            <w:fldChar w:fldCharType="end"/>
          </w:r>
        </w:p>
        <w:p w:rsidR="0028123E" w:rsidRDefault="0028123E">
          <w:pPr>
            <w:pStyle w:val="Inhopg1"/>
            <w:tabs>
              <w:tab w:val="left" w:pos="362"/>
              <w:tab w:val="right" w:leader="dot" w:pos="9062"/>
            </w:tabs>
            <w:rPr>
              <w:rFonts w:eastAsiaTheme="minorEastAsia"/>
              <w:noProof/>
              <w:sz w:val="24"/>
              <w:szCs w:val="24"/>
              <w:lang w:eastAsia="nl-NL"/>
            </w:rPr>
          </w:pPr>
          <w:r>
            <w:rPr>
              <w:noProof/>
            </w:rPr>
            <w:t>9</w:t>
          </w:r>
          <w:r>
            <w:rPr>
              <w:rFonts w:eastAsiaTheme="minorEastAsia"/>
              <w:noProof/>
              <w:sz w:val="24"/>
              <w:szCs w:val="24"/>
              <w:lang w:eastAsia="nl-NL"/>
            </w:rPr>
            <w:tab/>
          </w:r>
          <w:r>
            <w:rPr>
              <w:noProof/>
            </w:rPr>
            <w:t>Bijlage E, Documentatie</w:t>
          </w:r>
          <w:r>
            <w:rPr>
              <w:noProof/>
            </w:rPr>
            <w:tab/>
          </w:r>
          <w:r>
            <w:rPr>
              <w:noProof/>
            </w:rPr>
            <w:fldChar w:fldCharType="begin"/>
          </w:r>
          <w:r>
            <w:rPr>
              <w:noProof/>
            </w:rPr>
            <w:instrText xml:space="preserve"> PAGEREF _Toc161406712 \h </w:instrText>
          </w:r>
          <w:r>
            <w:rPr>
              <w:noProof/>
            </w:rPr>
          </w:r>
          <w:r>
            <w:rPr>
              <w:noProof/>
            </w:rPr>
            <w:fldChar w:fldCharType="separate"/>
          </w:r>
          <w:r>
            <w:rPr>
              <w:noProof/>
            </w:rPr>
            <w:t>34</w:t>
          </w:r>
          <w:r>
            <w:rPr>
              <w:noProof/>
            </w:rPr>
            <w:fldChar w:fldCharType="end"/>
          </w:r>
        </w:p>
        <w:p w:rsidR="00443C6D" w:rsidRDefault="00F34DE6">
          <w:r>
            <w:fldChar w:fldCharType="end"/>
          </w:r>
        </w:p>
      </w:sdtContent>
    </w:sdt>
    <w:p w:rsidR="00443C6D" w:rsidRDefault="00443C6D">
      <w:pPr>
        <w:rPr>
          <w:rFonts w:asciiTheme="majorHAnsi" w:eastAsiaTheme="majorEastAsia" w:hAnsiTheme="majorHAnsi" w:cstheme="majorBidi"/>
          <w:b/>
          <w:bCs/>
          <w:color w:val="365F91" w:themeColor="accent1" w:themeShade="BF"/>
          <w:sz w:val="28"/>
          <w:szCs w:val="28"/>
        </w:rPr>
      </w:pPr>
    </w:p>
    <w:p w:rsidR="00443C6D" w:rsidRDefault="00443C6D"/>
    <w:p w:rsidR="00443C6D" w:rsidRDefault="00443C6D"/>
    <w:p w:rsidR="00443C6D" w:rsidRDefault="00443C6D"/>
    <w:p w:rsidR="00443C6D" w:rsidRDefault="00443C6D"/>
    <w:p w:rsidR="00443C6D" w:rsidRDefault="00443C6D"/>
    <w:p w:rsidR="00443C6D" w:rsidRDefault="00443C6D"/>
    <w:p w:rsidR="00443C6D" w:rsidRDefault="00443C6D"/>
    <w:p w:rsidR="00443C6D" w:rsidRDefault="00443C6D"/>
    <w:p w:rsidR="00443C6D" w:rsidRDefault="00443C6D"/>
    <w:p w:rsidR="00443C6D" w:rsidRDefault="00443C6D"/>
    <w:p w:rsidR="00443C6D" w:rsidRDefault="001344EE" w:rsidP="00443C6D">
      <w:r>
        <w:t xml:space="preserve">Auteur: </w:t>
      </w:r>
      <w:r>
        <w:tab/>
      </w:r>
      <w:r w:rsidR="005D01E8">
        <w:t>dr. H. Schrijver</w:t>
      </w:r>
      <w:r>
        <w:br/>
        <w:t xml:space="preserve">Datum: </w:t>
      </w:r>
      <w:r>
        <w:tab/>
      </w:r>
      <w:r w:rsidR="00874CFE">
        <w:t>10 maart</w:t>
      </w:r>
      <w:r w:rsidR="005D01E8">
        <w:t xml:space="preserve"> 2011</w:t>
      </w:r>
      <w:r>
        <w:br/>
        <w:t xml:space="preserve">Versie: </w:t>
      </w:r>
      <w:r>
        <w:tab/>
      </w:r>
      <w:r>
        <w:tab/>
      </w:r>
      <w:r w:rsidR="00874CFE">
        <w:t>1.0</w:t>
      </w:r>
    </w:p>
    <w:p w:rsidR="00443C6D" w:rsidRDefault="001344EE">
      <w:pPr>
        <w:rPr>
          <w:rFonts w:asciiTheme="majorHAnsi" w:eastAsiaTheme="majorEastAsia" w:hAnsiTheme="majorHAnsi" w:cstheme="majorBidi"/>
          <w:b/>
          <w:bCs/>
          <w:color w:val="CC0068"/>
          <w:sz w:val="32"/>
          <w:szCs w:val="28"/>
        </w:rPr>
      </w:pPr>
      <w:r>
        <w:br w:type="page"/>
      </w:r>
    </w:p>
    <w:p w:rsidR="005D01E8" w:rsidRPr="007B6F8A" w:rsidRDefault="005D01E8" w:rsidP="005D01E8">
      <w:pPr>
        <w:pStyle w:val="Kop1"/>
      </w:pPr>
      <w:bookmarkStart w:id="1" w:name="_Toc161406688"/>
      <w:r>
        <w:lastRenderedPageBreak/>
        <w:t>Inleiding</w:t>
      </w:r>
      <w:bookmarkEnd w:id="1"/>
      <w:r w:rsidR="00F34DE6">
        <w:fldChar w:fldCharType="begin"/>
      </w:r>
      <w:r>
        <w:instrText xml:space="preserve"> XE "1. Inleiding" </w:instrText>
      </w:r>
      <w:r w:rsidR="00F34DE6">
        <w:fldChar w:fldCharType="end"/>
      </w:r>
    </w:p>
    <w:p w:rsidR="005D01E8" w:rsidRDefault="005D01E8" w:rsidP="005D01E8">
      <w:pPr>
        <w:jc w:val="both"/>
      </w:pPr>
      <w:r>
        <w:t>Gemeenten zijn bronhouders van onder meer de Gemeentelijke Basisadministratie voor persoons</w:t>
      </w:r>
      <w:r w:rsidR="007C1A25">
        <w:softHyphen/>
      </w:r>
      <w:r>
        <w:t>gegevens (GBA) en de Basisregistraties Adressen en Gebouwen (BAG). De GBA is de registratie waar</w:t>
      </w:r>
      <w:r w:rsidR="0007374F">
        <w:softHyphen/>
      </w:r>
      <w:r>
        <w:t>in authentieke persoonsgegevens worden vastgelegd en onder</w:t>
      </w:r>
      <w:r>
        <w:softHyphen/>
        <w:t>hou</w:t>
      </w:r>
      <w:r>
        <w:softHyphen/>
        <w:t>den en de BAG is de regis</w:t>
      </w:r>
      <w:r w:rsidR="00E70AE1">
        <w:softHyphen/>
      </w:r>
      <w:r>
        <w:t>tra</w:t>
      </w:r>
      <w:r w:rsidR="00E70AE1">
        <w:softHyphen/>
      </w:r>
      <w:r>
        <w:t xml:space="preserve">tie waarin authentieke adres- en gebouwgegevens worden vastgelegd en onderhouden. </w:t>
      </w:r>
    </w:p>
    <w:p w:rsidR="005D01E8" w:rsidRDefault="005D01E8" w:rsidP="005D01E8">
      <w:pPr>
        <w:jc w:val="both"/>
      </w:pPr>
      <w:r>
        <w:t>In het kader van het stelsel van basisregistraties moet de GBA gebruik maken van de adresgegevens van de BAG. Daarmee wordt de GBA één van de grootste afnemers van adressen uit de BAG. Fouten die door gebruikers van GBA-gegevens geconstateerd wor</w:t>
      </w:r>
      <w:r>
        <w:softHyphen/>
        <w:t xml:space="preserve">den en betrekking hebben op de relatie tussen de persoon en het adres </w:t>
      </w:r>
      <w:r w:rsidR="00E64F06">
        <w:t>(</w:t>
      </w:r>
      <w:r w:rsidR="00913257">
        <w:t xml:space="preserve">van </w:t>
      </w:r>
      <w:r w:rsidR="00E64F06">
        <w:t xml:space="preserve">de verblijfplaats waar de persoon geregistreerd is) </w:t>
      </w:r>
      <w:r>
        <w:t>moeten terug</w:t>
      </w:r>
      <w:r w:rsidR="00913257">
        <w:softHyphen/>
      </w:r>
      <w:r>
        <w:softHyphen/>
        <w:t xml:space="preserve">gemeld worden aan de GBA. Mocht blijken dat het een </w:t>
      </w:r>
      <w:r w:rsidR="0007374F">
        <w:t xml:space="preserve">fout in het </w:t>
      </w:r>
      <w:r w:rsidR="00E64F06">
        <w:t xml:space="preserve">adresseerbaar object betreft, waar het </w:t>
      </w:r>
      <w:r w:rsidR="0007374F">
        <w:t xml:space="preserve">adres </w:t>
      </w:r>
      <w:r w:rsidR="00E64F06">
        <w:t>naar verwijst,</w:t>
      </w:r>
      <w:r w:rsidR="0007374F">
        <w:t xml:space="preserve"> </w:t>
      </w:r>
      <w:r>
        <w:t xml:space="preserve">dan moet </w:t>
      </w:r>
      <w:r w:rsidR="00E64F06">
        <w:t>b</w:t>
      </w:r>
      <w:r>
        <w:t>urgerzaken dit melden aan de beheerder van de BAG. Deze terugmeldplicht bevordert de kwaliteit van beide basisregistraties.</w:t>
      </w:r>
    </w:p>
    <w:p w:rsidR="005D01E8" w:rsidRDefault="005D01E8" w:rsidP="005D01E8">
      <w:pPr>
        <w:jc w:val="both"/>
      </w:pPr>
      <w:r>
        <w:t>Het gebruik van deze basisregistraties is bij de uitvoering van publiekrechtelijke taken verplicht. Als de GBA gebruik maakt van de adresgegevens uit de BAG (uiterlijk per 1-7-2011), voldoen veel afne</w:t>
      </w:r>
      <w:r w:rsidR="00E70AE1">
        <w:softHyphen/>
      </w:r>
      <w:r>
        <w:t>mers van de GBA ook automatisch aan de gebruiksplicht van de BAG. Alleen gemeentelijke diensten of organisaties die vooral de gebouwgegevens nodig hebben</w:t>
      </w:r>
      <w:r w:rsidR="00E64F06">
        <w:t>,</w:t>
      </w:r>
      <w:r>
        <w:t xml:space="preserve"> zullen deze rechtstreeks van de BAG betrekken.</w:t>
      </w:r>
    </w:p>
    <w:p w:rsidR="000F775E" w:rsidRDefault="000F775E" w:rsidP="000F775E">
      <w:pPr>
        <w:jc w:val="both"/>
      </w:pPr>
      <w:r>
        <w:t>Het principe van eenmalig inwinnen en meervoudig gebruiken van gegevens, zoals is beoogd met invoering van het stelsel van basisregistraties, heeft consequenties voor de gemeenten. Bij burger</w:t>
      </w:r>
      <w:r w:rsidR="00631BB9">
        <w:softHyphen/>
      </w:r>
      <w:r>
        <w:t>za</w:t>
      </w:r>
      <w:r w:rsidR="00631BB9">
        <w:softHyphen/>
      </w:r>
      <w:r>
        <w:t>ken zullen werkprocessen iets anders verlopen, het werken met basisregistraties moet goed worden verankerd en de ICT voorzieningen moeten gegevens ont</w:t>
      </w:r>
      <w:r>
        <w:softHyphen/>
        <w:t>lenen aan de (geauto</w:t>
      </w:r>
      <w:r>
        <w:softHyphen/>
        <w:t>ma</w:t>
      </w:r>
      <w:r>
        <w:softHyphen/>
        <w:t>ti</w:t>
      </w:r>
      <w:r>
        <w:softHyphen/>
        <w:t>seerde) basis</w:t>
      </w:r>
      <w:r w:rsidR="00631BB9">
        <w:softHyphen/>
      </w:r>
      <w:r>
        <w:t>registraties.</w:t>
      </w:r>
    </w:p>
    <w:p w:rsidR="005D01E8" w:rsidRPr="005D01E8" w:rsidRDefault="005D01E8" w:rsidP="005D01E8">
      <w:pPr>
        <w:pStyle w:val="Kop2"/>
      </w:pPr>
      <w:bookmarkStart w:id="2" w:name="_Toc161406689"/>
      <w:r w:rsidRPr="005D01E8">
        <w:t>Doel van deze handreiking</w:t>
      </w:r>
      <w:bookmarkEnd w:id="2"/>
      <w:r w:rsidR="00F34DE6" w:rsidRPr="005D01E8">
        <w:fldChar w:fldCharType="begin"/>
      </w:r>
      <w:r>
        <w:instrText xml:space="preserve"> XE "</w:instrText>
      </w:r>
      <w:r w:rsidRPr="005D01E8">
        <w:instrText>1.1 Doel van deze handreiking</w:instrText>
      </w:r>
      <w:r>
        <w:instrText xml:space="preserve">" </w:instrText>
      </w:r>
      <w:r w:rsidR="00F34DE6" w:rsidRPr="005D01E8">
        <w:fldChar w:fldCharType="end"/>
      </w:r>
    </w:p>
    <w:p w:rsidR="003C2BC0" w:rsidRDefault="003C2BC0" w:rsidP="003C2BC0">
      <w:pPr>
        <w:jc w:val="both"/>
      </w:pPr>
      <w:r>
        <w:t xml:space="preserve">In deze handreiking worden de </w:t>
      </w:r>
      <w:r w:rsidRPr="003D4D79">
        <w:rPr>
          <w:i/>
        </w:rPr>
        <w:t>binnengemeentelijke processen</w:t>
      </w:r>
      <w:r>
        <w:t xml:space="preserve"> </w:t>
      </w:r>
      <w:r w:rsidR="0086364B">
        <w:t xml:space="preserve">tussen de BAG en de GBA </w:t>
      </w:r>
      <w:r>
        <w:t>beschre</w:t>
      </w:r>
      <w:r>
        <w:softHyphen/>
        <w:t xml:space="preserve">ven, mede gebaseerd op het </w:t>
      </w:r>
      <w:r w:rsidR="00B55D3D">
        <w:t xml:space="preserve">boekje ‘Samenhang BAG en GBA’, versie 1.1, 20 augustus 2009. </w:t>
      </w:r>
      <w:r>
        <w:t>Gemeen</w:t>
      </w:r>
      <w:r w:rsidR="00F650BD">
        <w:softHyphen/>
      </w:r>
      <w:r>
        <w:t>ten kunnen de procesbeschrijvingen als voorbeelden gebruiken om een eigen inrich</w:t>
      </w:r>
      <w:r>
        <w:softHyphen/>
        <w:t>tings</w:t>
      </w:r>
      <w:r>
        <w:softHyphen/>
        <w:t>vorm te bepa</w:t>
      </w:r>
      <w:r>
        <w:softHyphen/>
        <w:t xml:space="preserve">len. In de processchema’s worden </w:t>
      </w:r>
      <w:r w:rsidRPr="00485F69">
        <w:rPr>
          <w:i/>
        </w:rPr>
        <w:t>rollen</w:t>
      </w:r>
      <w:r>
        <w:t xml:space="preserve"> benoemd, die kunnen worden toegewezen aan functies binnen de gemeentelijke organisatie, waarbij de gemeente de vrijheid heeft om rollen te bundelen of op te splitsen op een wijze die in de gemeentelijke organisatie past.</w:t>
      </w:r>
    </w:p>
    <w:p w:rsidR="0007374F" w:rsidRDefault="0007374F" w:rsidP="005D01E8">
      <w:pPr>
        <w:jc w:val="both"/>
      </w:pPr>
      <w:r>
        <w:t xml:space="preserve">De handreiking </w:t>
      </w:r>
      <w:r w:rsidR="00F25F9E">
        <w:t>is gericht op</w:t>
      </w:r>
      <w:r>
        <w:t xml:space="preserve"> professionals en adviseurs </w:t>
      </w:r>
      <w:r w:rsidR="00F25F9E">
        <w:t>die zich bezig houden met de pro</w:t>
      </w:r>
      <w:r>
        <w:t>cesinrichting binnen gemeenten en met name het gebruik van basisregistraties.</w:t>
      </w:r>
      <w:r w:rsidR="00F25F9E">
        <w:t xml:space="preserve"> Kennis van de BAG, de GBA, het s</w:t>
      </w:r>
      <w:r w:rsidR="00BA7E30">
        <w:t>t</w:t>
      </w:r>
      <w:r w:rsidR="00F25F9E">
        <w:t xml:space="preserve">elsel van basisregistraties en methodes en modellen voor procesinrichting wordt verondersteld. De </w:t>
      </w:r>
      <w:r w:rsidR="00303DD8">
        <w:t xml:space="preserve">ondersteuning met informatiesystemen en ICT wordt </w:t>
      </w:r>
      <w:r w:rsidR="00BA7E30">
        <w:t>elders behandeld en beschreven</w:t>
      </w:r>
      <w:r w:rsidR="00303DD8">
        <w:t>.</w:t>
      </w:r>
    </w:p>
    <w:p w:rsidR="005D01E8" w:rsidRDefault="0007374F" w:rsidP="005D01E8">
      <w:pPr>
        <w:jc w:val="both"/>
      </w:pPr>
      <w:r>
        <w:t xml:space="preserve">Voor de lezer die minder vertrouwd is met de basisregistraties en de mogelijke gevolgen voor de gemeentelijke organisatie en gegevenshuishouding, wordt in bijlage D de achtergrond geschetst, waarbinnen de </w:t>
      </w:r>
      <w:r w:rsidR="00655B06">
        <w:t>(proces)</w:t>
      </w:r>
      <w:r>
        <w:t>inrichting bij gemeenten zal plaatsvinden.</w:t>
      </w:r>
    </w:p>
    <w:p w:rsidR="005D01E8" w:rsidRDefault="005D01E8" w:rsidP="005D01E8">
      <w:pPr>
        <w:jc w:val="both"/>
      </w:pPr>
      <w:r>
        <w:t xml:space="preserve">Aan de basis van de procesgang liggen </w:t>
      </w:r>
      <w:r w:rsidRPr="003D4D79">
        <w:rPr>
          <w:i/>
        </w:rPr>
        <w:t>gebeurtenissen</w:t>
      </w:r>
      <w:r>
        <w:t xml:space="preserve"> die te maken hebben met de GBA, zoals een burger die aangifte doet van geboorte of verhuizing, of de BAG, zoals het vol</w:t>
      </w:r>
      <w:r>
        <w:softHyphen/>
        <w:t xml:space="preserve">tooien van een woning waar vervolgens bewoners kunnen worden ingeschreven. Deze gebeurtenissen leiden tot het gebruik </w:t>
      </w:r>
      <w:r>
        <w:lastRenderedPageBreak/>
        <w:t xml:space="preserve">of het aanpassen van gegevens in de registraties en kunnen alleen correct behandeld worden als de </w:t>
      </w:r>
      <w:r w:rsidRPr="003D4D79">
        <w:rPr>
          <w:i/>
        </w:rPr>
        <w:t>gemeentelijke gegevenshuishouding</w:t>
      </w:r>
      <w:r>
        <w:t xml:space="preserve"> op dit gebruik is ingesteld. </w:t>
      </w:r>
    </w:p>
    <w:p w:rsidR="005D01E8" w:rsidRPr="005D01E8" w:rsidRDefault="005D01E8" w:rsidP="005D01E8">
      <w:pPr>
        <w:pStyle w:val="Kop2"/>
      </w:pPr>
      <w:bookmarkStart w:id="3" w:name="_Toc161406690"/>
      <w:r w:rsidRPr="005D01E8">
        <w:t>Opbouw van de handreiking</w:t>
      </w:r>
      <w:bookmarkEnd w:id="3"/>
    </w:p>
    <w:p w:rsidR="005D01E8" w:rsidRDefault="005D01E8" w:rsidP="005D01E8">
      <w:pPr>
        <w:jc w:val="both"/>
      </w:pPr>
      <w:r>
        <w:t xml:space="preserve">In hoofdstuk </w:t>
      </w:r>
      <w:r w:rsidR="00E70AE1">
        <w:t>2</w:t>
      </w:r>
      <w:r>
        <w:t xml:space="preserve"> zijn de uitgangspunten opgesomd, zoals die voortvloeien uit wet- en regel</w:t>
      </w:r>
      <w:r>
        <w:softHyphen/>
      </w:r>
      <w:r>
        <w:softHyphen/>
        <w:t>geving of afspraken voor de invoering van de BAG in samenhang met de GBA. Er wordt aangegeven welke processen in detail zullen worden uitgewerkt en waar deze processen binnen de gemeente te positioneren zijn.</w:t>
      </w:r>
    </w:p>
    <w:p w:rsidR="005D01E8" w:rsidRDefault="00303DD8" w:rsidP="005D01E8">
      <w:pPr>
        <w:jc w:val="both"/>
      </w:pPr>
      <w:r>
        <w:t>D</w:t>
      </w:r>
      <w:r w:rsidR="005D01E8">
        <w:t xml:space="preserve">e processen </w:t>
      </w:r>
      <w:r>
        <w:t xml:space="preserve">worden beschreven </w:t>
      </w:r>
      <w:r w:rsidR="005D01E8">
        <w:t xml:space="preserve">in hoofdstuk </w:t>
      </w:r>
      <w:r w:rsidR="00E70AE1">
        <w:t>3</w:t>
      </w:r>
      <w:r>
        <w:t xml:space="preserve">. Daarbij </w:t>
      </w:r>
      <w:r w:rsidR="005D01E8">
        <w:t>wordt aan</w:t>
      </w:r>
      <w:r w:rsidR="005D01E8">
        <w:softHyphen/>
        <w:t>dacht geschonken aan de soorten gegevens in de registraties en wordt de eventuele keuzevrijheid</w:t>
      </w:r>
      <w:r w:rsidR="005D01E8" w:rsidRPr="002702F5">
        <w:t xml:space="preserve"> </w:t>
      </w:r>
      <w:r w:rsidR="005D01E8">
        <w:t>aangegeven om processen handmatig of geautomatiseerd uit te voeren.</w:t>
      </w:r>
    </w:p>
    <w:p w:rsidR="00443C6D" w:rsidRPr="001344EE" w:rsidRDefault="005D01E8" w:rsidP="001344EE">
      <w:pPr>
        <w:jc w:val="both"/>
      </w:pPr>
      <w:r>
        <w:t>Gebeurtenissen vormen de verbindende schakel tussen processen en de geauto</w:t>
      </w:r>
      <w:r>
        <w:softHyphen/>
        <w:t>ma</w:t>
      </w:r>
      <w:r>
        <w:softHyphen/>
        <w:t>ti</w:t>
      </w:r>
      <w:r>
        <w:softHyphen/>
        <w:t>seer</w:t>
      </w:r>
      <w:r>
        <w:softHyphen/>
        <w:t>de gege</w:t>
      </w:r>
      <w:r w:rsidR="00303DD8">
        <w:softHyphen/>
      </w:r>
      <w:r>
        <w:t>vens</w:t>
      </w:r>
      <w:r w:rsidR="00303DD8">
        <w:softHyphen/>
      </w:r>
      <w:r>
        <w:t xml:space="preserve">verwerking. In hoofdstuk </w:t>
      </w:r>
      <w:r w:rsidR="00E70AE1">
        <w:t>4</w:t>
      </w:r>
      <w:r>
        <w:t xml:space="preserve"> worden deze verbanden verder toegelicht door het leggen van relaties met het berich</w:t>
      </w:r>
      <w:r>
        <w:softHyphen/>
        <w:t>ten</w:t>
      </w:r>
      <w:r>
        <w:softHyphen/>
        <w:t>verkeer tussen appli</w:t>
      </w:r>
      <w:r>
        <w:softHyphen/>
        <w:t>ca</w:t>
      </w:r>
      <w:r>
        <w:softHyphen/>
        <w:t>ties</w:t>
      </w:r>
      <w:r w:rsidRPr="00DC1E44">
        <w:t xml:space="preserve"> </w:t>
      </w:r>
      <w:r>
        <w:t>en de koppel</w:t>
      </w:r>
      <w:r>
        <w:softHyphen/>
        <w:t>vlak</w:t>
      </w:r>
      <w:r>
        <w:softHyphen/>
        <w:t>ken voor applicatiekoppe</w:t>
      </w:r>
      <w:r>
        <w:softHyphen/>
        <w:t>lingen.</w:t>
      </w:r>
    </w:p>
    <w:p w:rsidR="00683684" w:rsidRDefault="00683684" w:rsidP="00683684">
      <w:pPr>
        <w:jc w:val="both"/>
      </w:pPr>
    </w:p>
    <w:p w:rsidR="00683684" w:rsidRDefault="00683684" w:rsidP="00054ED3">
      <w:pPr>
        <w:pStyle w:val="Kop1"/>
      </w:pPr>
      <w:r>
        <w:br w:type="page"/>
      </w:r>
      <w:bookmarkStart w:id="4" w:name="_Toc161406691"/>
      <w:r>
        <w:lastRenderedPageBreak/>
        <w:t>Uitgangspunten en scope</w:t>
      </w:r>
      <w:bookmarkEnd w:id="4"/>
    </w:p>
    <w:p w:rsidR="00683684" w:rsidRDefault="00683684" w:rsidP="00683684">
      <w:pPr>
        <w:jc w:val="both"/>
      </w:pPr>
      <w:r>
        <w:t>In de wet- en regel</w:t>
      </w:r>
      <w:r>
        <w:softHyphen/>
      </w:r>
      <w:r>
        <w:softHyphen/>
        <w:t>geving voor de BAG en de GBA worden eisen gesteld aan de regis</w:t>
      </w:r>
      <w:r>
        <w:softHyphen/>
        <w:t>tra</w:t>
      </w:r>
      <w:r>
        <w:softHyphen/>
        <w:t>ties, in het bijzonder voor termijnen waarbinnen gebeurtenissen moeten worden afge</w:t>
      </w:r>
      <w:r>
        <w:softHyphen/>
        <w:t>wik</w:t>
      </w:r>
      <w:r>
        <w:softHyphen/>
        <w:t>keld. Daarnaast zijn er termijnen gesteld en afspraken gemaakt voor de invoering van de BAG in samenhang met de GBA. Deze eisen en afspraken worden kort samen</w:t>
      </w:r>
      <w:r>
        <w:softHyphen/>
        <w:t>gevat in een aantal uitgangspunten.</w:t>
      </w:r>
    </w:p>
    <w:p w:rsidR="00683684" w:rsidRPr="00CC3E76" w:rsidRDefault="00683684" w:rsidP="00683684">
      <w:pPr>
        <w:jc w:val="both"/>
      </w:pPr>
      <w:r>
        <w:t>Voordat de processen in deze handreiking in detail worden uitgewerkt, wordt afge</w:t>
      </w:r>
      <w:r>
        <w:softHyphen/>
        <w:t>bakend om welke processen het dient te gaan. Verder wordt aange</w:t>
      </w:r>
      <w:r>
        <w:softHyphen/>
        <w:t>geven waar ze binnen de gemeentelijke processen te positioneren zijn. Daarbij wordt de GEMMA (Gemeen</w:t>
      </w:r>
      <w:r>
        <w:softHyphen/>
        <w:t>te</w:t>
      </w:r>
      <w:r>
        <w:softHyphen/>
        <w:t>lijke Model Archi</w:t>
      </w:r>
      <w:r w:rsidRPr="00C35F1F">
        <w:t>tectuur</w:t>
      </w:r>
      <w:r>
        <w:t>) gebruikt als referentiekader. De GEMMA vormt een leidraad voor zowel de pro</w:t>
      </w:r>
      <w:r>
        <w:softHyphen/>
        <w:t>ces</w:t>
      </w:r>
      <w:r>
        <w:softHyphen/>
        <w:t>archi</w:t>
      </w:r>
      <w:r>
        <w:softHyphen/>
        <w:t>tec</w:t>
      </w:r>
      <w:r>
        <w:softHyphen/>
        <w:t>tuur als de infor</w:t>
      </w:r>
      <w:r w:rsidR="001A60A9">
        <w:softHyphen/>
      </w:r>
      <w:r>
        <w:t>ma</w:t>
      </w:r>
      <w:r w:rsidR="001A60A9">
        <w:softHyphen/>
      </w:r>
      <w:r>
        <w:t>tie</w:t>
      </w:r>
      <w:r w:rsidR="001A60A9">
        <w:softHyphen/>
      </w:r>
      <w:r>
        <w:t>archi</w:t>
      </w:r>
      <w:r>
        <w:softHyphen/>
        <w:t>tec</w:t>
      </w:r>
      <w:r>
        <w:softHyphen/>
        <w:t xml:space="preserve">tuur. </w:t>
      </w:r>
    </w:p>
    <w:p w:rsidR="00683684" w:rsidRPr="00964AAA" w:rsidRDefault="00683684" w:rsidP="006F1452">
      <w:pPr>
        <w:pStyle w:val="Kop2"/>
      </w:pPr>
      <w:bookmarkStart w:id="5" w:name="_Toc161406692"/>
      <w:r w:rsidRPr="006F1452">
        <w:t>Uitgangspunten en randvoorwaarden</w:t>
      </w:r>
      <w:bookmarkEnd w:id="5"/>
    </w:p>
    <w:p w:rsidR="00A94457" w:rsidRDefault="00A94457" w:rsidP="007E5F9D">
      <w:pPr>
        <w:jc w:val="both"/>
      </w:pPr>
      <w:r>
        <w:t xml:space="preserve">In bijlage A wordt een meer uitgebreide toelichting gegeven op het adresbegrip </w:t>
      </w:r>
      <w:r w:rsidR="009A0D34">
        <w:t xml:space="preserve">en </w:t>
      </w:r>
      <w:r w:rsidR="009E38F9">
        <w:t>enkele</w:t>
      </w:r>
      <w:r w:rsidR="009A0D34">
        <w:t xml:space="preserve"> uitgangs</w:t>
      </w:r>
      <w:r w:rsidR="009E38F9">
        <w:softHyphen/>
      </w:r>
      <w:r w:rsidR="009A0D34">
        <w:t>punten, die</w:t>
      </w:r>
      <w:r>
        <w:t xml:space="preserve"> van toepassing </w:t>
      </w:r>
      <w:r w:rsidR="009A0D34">
        <w:t>zijn</w:t>
      </w:r>
      <w:r>
        <w:t xml:space="preserve"> als de GBA en de BAG als basisregistraties gaan samen</w:t>
      </w:r>
      <w:r w:rsidR="009A0D34">
        <w:softHyphen/>
      </w:r>
      <w:r>
        <w:t>wer</w:t>
      </w:r>
      <w:r w:rsidR="009A0D34">
        <w:softHyphen/>
      </w:r>
      <w:r>
        <w:t>ken</w:t>
      </w:r>
      <w:r w:rsidR="002063FA">
        <w:t xml:space="preserve">. </w:t>
      </w:r>
      <w:r w:rsidR="009D1DD6">
        <w:t xml:space="preserve">Op deze plaats worden die </w:t>
      </w:r>
      <w:r w:rsidR="00D37604">
        <w:t xml:space="preserve">punten </w:t>
      </w:r>
      <w:r w:rsidR="009D1DD6">
        <w:t>kort samengevat.</w:t>
      </w:r>
    </w:p>
    <w:p w:rsidR="007C6C27" w:rsidRPr="009D1DD6" w:rsidRDefault="007C6C27" w:rsidP="009D1DD6">
      <w:pPr>
        <w:jc w:val="both"/>
      </w:pPr>
      <w:r>
        <w:t xml:space="preserve">Met de invoering van de BAG en de koppeling van de GBA </w:t>
      </w:r>
      <w:r w:rsidR="00E24FD5">
        <w:t>met</w:t>
      </w:r>
      <w:r>
        <w:t xml:space="preserve"> de BAG wordt de verblijfplaats de kern waar persoonsgegevens mee verbonden worden. Een verblijfplaats is een </w:t>
      </w:r>
      <w:r w:rsidRPr="00655585">
        <w:rPr>
          <w:i/>
        </w:rPr>
        <w:t>adresseerbaar object</w:t>
      </w:r>
      <w:r>
        <w:t xml:space="preserve"> in de BAG: een </w:t>
      </w:r>
      <w:r w:rsidR="00A46957">
        <w:rPr>
          <w:i/>
        </w:rPr>
        <w:t>V</w:t>
      </w:r>
      <w:r w:rsidRPr="00A02B27">
        <w:rPr>
          <w:i/>
        </w:rPr>
        <w:t>erblijfsobject</w:t>
      </w:r>
      <w:r>
        <w:t xml:space="preserve">, een </w:t>
      </w:r>
      <w:r w:rsidR="00A46957">
        <w:rPr>
          <w:i/>
        </w:rPr>
        <w:t>S</w:t>
      </w:r>
      <w:r w:rsidRPr="00A02B27">
        <w:rPr>
          <w:i/>
        </w:rPr>
        <w:t>tand</w:t>
      </w:r>
      <w:r>
        <w:rPr>
          <w:i/>
        </w:rPr>
        <w:softHyphen/>
      </w:r>
      <w:r w:rsidRPr="00A02B27">
        <w:rPr>
          <w:i/>
        </w:rPr>
        <w:t>plaats</w:t>
      </w:r>
      <w:r>
        <w:t xml:space="preserve"> of een </w:t>
      </w:r>
      <w:r w:rsidR="00A46957">
        <w:rPr>
          <w:i/>
        </w:rPr>
        <w:t>L</w:t>
      </w:r>
      <w:r w:rsidRPr="00A02B27">
        <w:rPr>
          <w:i/>
        </w:rPr>
        <w:t>igplaats</w:t>
      </w:r>
      <w:r>
        <w:t>. Deze worden uniek geadr</w:t>
      </w:r>
      <w:r w:rsidR="009D1DD6">
        <w:t>es</w:t>
      </w:r>
      <w:r w:rsidR="009D1DD6">
        <w:softHyphen/>
        <w:t xml:space="preserve">seerd door de aanduiding van </w:t>
      </w:r>
      <w:r w:rsidRPr="00B96368">
        <w:rPr>
          <w:i/>
        </w:rPr>
        <w:t>Woonplaats</w:t>
      </w:r>
      <w:r w:rsidR="009D1DD6">
        <w:t xml:space="preserve">, </w:t>
      </w:r>
      <w:r w:rsidRPr="00B96368">
        <w:rPr>
          <w:i/>
        </w:rPr>
        <w:t>Openbare ruimte</w:t>
      </w:r>
      <w:r w:rsidR="009D1DD6">
        <w:t xml:space="preserve"> en </w:t>
      </w:r>
      <w:r w:rsidRPr="00B96368">
        <w:rPr>
          <w:i/>
        </w:rPr>
        <w:t>Nummeraanduiding</w:t>
      </w:r>
      <w:r w:rsidRPr="009D1DD6">
        <w:t>.</w:t>
      </w:r>
    </w:p>
    <w:p w:rsidR="009D1DD6" w:rsidRDefault="009D1DD6" w:rsidP="009D1DD6">
      <w:pPr>
        <w:jc w:val="both"/>
      </w:pPr>
      <w:r>
        <w:t xml:space="preserve">Een persoon wordt ingeschreven op een verblijfplaats: het adresseerbare object uit de BAG. </w:t>
      </w:r>
      <w:r w:rsidR="00E750F5">
        <w:t xml:space="preserve">De gemeente bepaalt hoe deze verblijfplaats wordt benoemd. </w:t>
      </w:r>
      <w:r>
        <w:t xml:space="preserve">Als er geen verblijfplaats aan te wijzen is, die aan de BAG kan worden ontleend, wordt de persoon met een </w:t>
      </w:r>
      <w:r w:rsidR="00A46957">
        <w:rPr>
          <w:i/>
        </w:rPr>
        <w:t>L</w:t>
      </w:r>
      <w:r w:rsidRPr="0076776B">
        <w:rPr>
          <w:i/>
        </w:rPr>
        <w:t>ocatiebeschrijving</w:t>
      </w:r>
      <w:r>
        <w:t xml:space="preserve"> ingeschreven en is er dus geen relatie met de BAG te leggen.</w:t>
      </w:r>
      <w:r w:rsidR="00E750F5">
        <w:t xml:space="preserve"> </w:t>
      </w:r>
    </w:p>
    <w:p w:rsidR="003B7C5B" w:rsidRDefault="000B53E8" w:rsidP="007C6C27">
      <w:pPr>
        <w:jc w:val="both"/>
      </w:pPr>
      <w:r>
        <w:t>Bij de (eenmalige) ‘initiële vulling’ worden de adressen tussen GBA en BAG gesynchroniseerd. Bij over</w:t>
      </w:r>
      <w:r w:rsidR="00A46957">
        <w:softHyphen/>
      </w:r>
      <w:r>
        <w:t>eenstemming van de adressen worden er vier gegevenselementen (n</w:t>
      </w:r>
      <w:r w:rsidRPr="00E672B3">
        <w:t>aam openbare ruimte</w:t>
      </w:r>
      <w:r>
        <w:t>,</w:t>
      </w:r>
      <w:r w:rsidRPr="00EC229C">
        <w:t xml:space="preserve"> </w:t>
      </w:r>
      <w:r w:rsidR="0023533B">
        <w:t>woonplaatsnaam, i</w:t>
      </w:r>
      <w:r w:rsidR="00073027">
        <w:t xml:space="preserve">dentificatiecode verblijfplaats </w:t>
      </w:r>
      <w:r w:rsidR="0023533B">
        <w:t>en i</w:t>
      </w:r>
      <w:r w:rsidR="00073027">
        <w:t>dentificatiecode n</w:t>
      </w:r>
      <w:r w:rsidR="00073027" w:rsidRPr="00E672B3">
        <w:t>ummeraanduiding</w:t>
      </w:r>
      <w:r>
        <w:t>) aan de BAG ontleend en in de persoonslijst opgenomen.</w:t>
      </w:r>
      <w:r w:rsidR="0023533B" w:rsidRPr="0023533B">
        <w:t xml:space="preserve"> </w:t>
      </w:r>
      <w:r w:rsidR="0023533B">
        <w:t xml:space="preserve">Zie het </w:t>
      </w:r>
      <w:r w:rsidR="0023533B" w:rsidRPr="00E56625">
        <w:t>Logisch Ontwerp 3.7</w:t>
      </w:r>
      <w:r w:rsidR="0023533B">
        <w:t xml:space="preserve"> (LO 3.7) van de GBA</w:t>
      </w:r>
      <w:r w:rsidR="004879C8">
        <w:t>.</w:t>
      </w:r>
      <w:r w:rsidR="00D02040">
        <w:t xml:space="preserve"> </w:t>
      </w:r>
    </w:p>
    <w:p w:rsidR="007C6C27" w:rsidRDefault="00D02040" w:rsidP="007C6C27">
      <w:pPr>
        <w:jc w:val="both"/>
      </w:pPr>
      <w:r>
        <w:t xml:space="preserve">Het proces van de initiële vulling </w:t>
      </w:r>
      <w:r w:rsidR="004879C8">
        <w:t>wordt in deze handreiking verder niet beschre</w:t>
      </w:r>
      <w:r w:rsidR="004879C8">
        <w:softHyphen/>
        <w:t>ven.</w:t>
      </w:r>
      <w:r w:rsidR="004879C8" w:rsidRPr="004879C8">
        <w:t xml:space="preserve"> </w:t>
      </w:r>
      <w:r w:rsidR="004879C8">
        <w:t xml:space="preserve">Vanaf de initiële vulling </w:t>
      </w:r>
      <w:r w:rsidR="004879C8" w:rsidRPr="00E56625">
        <w:t>wordt de GBA bijgehouden via signalen uit de BAG, zodra zich gebeur</w:t>
      </w:r>
      <w:r w:rsidR="004879C8">
        <w:softHyphen/>
      </w:r>
      <w:r w:rsidR="004879C8" w:rsidRPr="00E56625">
        <w:t>tenissen voordoen die leiden tot toe</w:t>
      </w:r>
      <w:r w:rsidR="004879C8" w:rsidRPr="00E56625">
        <w:softHyphen/>
        <w:t>voe</w:t>
      </w:r>
      <w:r w:rsidR="004879C8" w:rsidRPr="00E56625">
        <w:softHyphen/>
        <w:t>gen, wijzigen of afvoeren van BAG-objecten. Zo blijft de GBA gesyn</w:t>
      </w:r>
      <w:r w:rsidR="004879C8" w:rsidRPr="00E56625">
        <w:softHyphen/>
        <w:t>chro</w:t>
      </w:r>
      <w:r w:rsidR="004879C8" w:rsidRPr="00E56625">
        <w:softHyphen/>
        <w:t>ni</w:t>
      </w:r>
      <w:r w:rsidR="004879C8" w:rsidRPr="00E56625">
        <w:softHyphen/>
        <w:t>seerd met de BAG.</w:t>
      </w:r>
    </w:p>
    <w:p w:rsidR="007C6C27" w:rsidRDefault="007C6C27" w:rsidP="007C6C27">
      <w:pPr>
        <w:jc w:val="both"/>
      </w:pPr>
      <w:r>
        <w:t>Verder zijn de volgende uitgangspunten van belang.</w:t>
      </w:r>
    </w:p>
    <w:p w:rsidR="001C0E8D" w:rsidRDefault="001C0E8D" w:rsidP="007C6C27">
      <w:pPr>
        <w:pStyle w:val="Lijstalinea"/>
        <w:numPr>
          <w:ilvl w:val="0"/>
          <w:numId w:val="8"/>
        </w:numPr>
        <w:jc w:val="both"/>
        <w:rPr>
          <w:sz w:val="22"/>
        </w:rPr>
      </w:pPr>
      <w:r>
        <w:rPr>
          <w:sz w:val="22"/>
        </w:rPr>
        <w:t>Een burger is wettelijk verplicht binnen 5 dagen aangifte te doen van vestiging binnen een gemeente.</w:t>
      </w:r>
      <w:r w:rsidR="00CA5616">
        <w:rPr>
          <w:sz w:val="22"/>
        </w:rPr>
        <w:t xml:space="preserve"> </w:t>
      </w:r>
      <w:r w:rsidR="00300C97">
        <w:rPr>
          <w:sz w:val="22"/>
        </w:rPr>
        <w:t>Er is in de wet geen termijn genoemd</w:t>
      </w:r>
      <w:r w:rsidR="00817C96">
        <w:rPr>
          <w:sz w:val="22"/>
        </w:rPr>
        <w:t>,</w:t>
      </w:r>
      <w:r w:rsidR="00300C97">
        <w:rPr>
          <w:sz w:val="22"/>
        </w:rPr>
        <w:t xml:space="preserve"> waarbinnen de gemeente deze inschrijving moet voltooien, bijvoorbeeld als door onduidelijkheden of twijfel </w:t>
      </w:r>
      <w:r w:rsidR="008535C6">
        <w:rPr>
          <w:sz w:val="22"/>
        </w:rPr>
        <w:t xml:space="preserve">aan de gegevens </w:t>
      </w:r>
      <w:r w:rsidR="00300C97">
        <w:rPr>
          <w:sz w:val="22"/>
        </w:rPr>
        <w:t xml:space="preserve">nader onderzoek moet worden </w:t>
      </w:r>
      <w:r w:rsidR="00817C96">
        <w:rPr>
          <w:sz w:val="22"/>
        </w:rPr>
        <w:t>verricht</w:t>
      </w:r>
      <w:r w:rsidR="00300C97">
        <w:rPr>
          <w:sz w:val="22"/>
        </w:rPr>
        <w:t>.</w:t>
      </w:r>
      <w:r w:rsidR="00817C96">
        <w:rPr>
          <w:sz w:val="22"/>
        </w:rPr>
        <w:t xml:space="preserve"> Wel zal een redelijke termijn (enkele dagen) gehanteerd moeten worden.</w:t>
      </w:r>
    </w:p>
    <w:p w:rsidR="001C0E8D" w:rsidRPr="001C0E8D" w:rsidRDefault="001C0E8D" w:rsidP="001C0E8D">
      <w:pPr>
        <w:jc w:val="both"/>
        <w:rPr>
          <w:sz w:val="6"/>
        </w:rPr>
      </w:pPr>
    </w:p>
    <w:p w:rsidR="007C6C27" w:rsidRPr="00E56625" w:rsidRDefault="007C6C27" w:rsidP="007C6C27">
      <w:pPr>
        <w:pStyle w:val="Lijstalinea"/>
        <w:numPr>
          <w:ilvl w:val="0"/>
          <w:numId w:val="8"/>
        </w:numPr>
        <w:jc w:val="both"/>
        <w:rPr>
          <w:sz w:val="22"/>
        </w:rPr>
      </w:pPr>
      <w:r w:rsidRPr="00E56625">
        <w:rPr>
          <w:sz w:val="22"/>
        </w:rPr>
        <w:t xml:space="preserve">Bij de aangifte van eerste inschrijvingen, hervestiging vanuit het buitenland en verhuizingen is </w:t>
      </w:r>
      <w:r w:rsidRPr="00FB2886">
        <w:rPr>
          <w:i/>
          <w:sz w:val="22"/>
        </w:rPr>
        <w:t>verificatie</w:t>
      </w:r>
      <w:r w:rsidRPr="00E56625">
        <w:rPr>
          <w:sz w:val="22"/>
        </w:rPr>
        <w:t xml:space="preserve"> van het opgegeven adres </w:t>
      </w:r>
      <w:r>
        <w:rPr>
          <w:sz w:val="22"/>
        </w:rPr>
        <w:t xml:space="preserve">van de verblijfplaats </w:t>
      </w:r>
      <w:r w:rsidRPr="00E56625">
        <w:rPr>
          <w:sz w:val="22"/>
        </w:rPr>
        <w:t>aan de adresseerbare objec</w:t>
      </w:r>
      <w:r w:rsidRPr="00E56625">
        <w:rPr>
          <w:sz w:val="22"/>
        </w:rPr>
        <w:softHyphen/>
        <w:t xml:space="preserve">ten in </w:t>
      </w:r>
      <w:r w:rsidRPr="00E56625">
        <w:rPr>
          <w:sz w:val="22"/>
        </w:rPr>
        <w:lastRenderedPageBreak/>
        <w:t>de (actuele) BAG noodzakelijk</w:t>
      </w:r>
      <w:r>
        <w:rPr>
          <w:sz w:val="22"/>
        </w:rPr>
        <w:t>. Daarbij is ook controle van de status van die BAG-objecten van belang</w:t>
      </w:r>
      <w:r w:rsidR="00CE646C">
        <w:rPr>
          <w:sz w:val="22"/>
        </w:rPr>
        <w:t xml:space="preserve"> (status bij bouw of sloop</w:t>
      </w:r>
      <w:r w:rsidR="00CE646C" w:rsidRPr="00CE646C">
        <w:rPr>
          <w:sz w:val="22"/>
        </w:rPr>
        <w:t xml:space="preserve"> </w:t>
      </w:r>
      <w:r w:rsidR="00CE646C">
        <w:rPr>
          <w:sz w:val="22"/>
        </w:rPr>
        <w:t>en woonfunctie).</w:t>
      </w:r>
      <w:r w:rsidR="00B93C69">
        <w:rPr>
          <w:sz w:val="22"/>
        </w:rPr>
        <w:t xml:space="preserve"> Als de verificatie een positief resultaat heeft, worden de benodigde adresgegevens aan de BAG ontleend.</w:t>
      </w:r>
    </w:p>
    <w:p w:rsidR="007C6C27" w:rsidRPr="00FC31FF" w:rsidRDefault="007C6C27" w:rsidP="007C6C27">
      <w:pPr>
        <w:jc w:val="both"/>
        <w:rPr>
          <w:sz w:val="6"/>
        </w:rPr>
      </w:pPr>
    </w:p>
    <w:p w:rsidR="007C6C27" w:rsidRPr="00E56625" w:rsidRDefault="007C6C27" w:rsidP="007C6C27">
      <w:pPr>
        <w:pStyle w:val="Lijstalinea"/>
        <w:numPr>
          <w:ilvl w:val="0"/>
          <w:numId w:val="8"/>
        </w:numPr>
        <w:jc w:val="both"/>
        <w:rPr>
          <w:sz w:val="22"/>
        </w:rPr>
      </w:pPr>
      <w:r w:rsidRPr="00E56625">
        <w:rPr>
          <w:sz w:val="22"/>
        </w:rPr>
        <w:t>Bij tw</w:t>
      </w:r>
      <w:r w:rsidR="006B34D7">
        <w:rPr>
          <w:sz w:val="22"/>
        </w:rPr>
        <w:t>ijfel over een opgegeven adres</w:t>
      </w:r>
      <w:r w:rsidRPr="00E56625">
        <w:rPr>
          <w:sz w:val="22"/>
        </w:rPr>
        <w:t xml:space="preserve"> wordt het adres in de GBA ‘in onder</w:t>
      </w:r>
      <w:r w:rsidRPr="00E56625">
        <w:rPr>
          <w:sz w:val="22"/>
        </w:rPr>
        <w:softHyphen/>
        <w:t>zoek’ geplaatst en vindt er een terugmelding na</w:t>
      </w:r>
      <w:r>
        <w:rPr>
          <w:sz w:val="22"/>
        </w:rPr>
        <w:t>ar de gemeentelijke BAG plaats. Als de terugmelding niet binnen een redelijke termijn (enkele dagen) kan worden afgewikkeld worden de beschikbare gegevens gebruikt voor de inschrij</w:t>
      </w:r>
      <w:r>
        <w:rPr>
          <w:sz w:val="22"/>
        </w:rPr>
        <w:softHyphen/>
        <w:t>ving en wordt deze zonodig later (met het resultaat van de terugmelding) gecorrigeerd.</w:t>
      </w:r>
    </w:p>
    <w:p w:rsidR="007C6C27" w:rsidRPr="00FC31FF" w:rsidRDefault="007C6C27" w:rsidP="007C6C27">
      <w:pPr>
        <w:jc w:val="both"/>
        <w:rPr>
          <w:sz w:val="6"/>
        </w:rPr>
      </w:pPr>
    </w:p>
    <w:p w:rsidR="007C6C27" w:rsidRPr="00E56625" w:rsidRDefault="007C6C27" w:rsidP="007C6C27">
      <w:pPr>
        <w:pStyle w:val="Lijstalinea"/>
        <w:numPr>
          <w:ilvl w:val="0"/>
          <w:numId w:val="8"/>
        </w:numPr>
        <w:jc w:val="both"/>
        <w:rPr>
          <w:sz w:val="22"/>
        </w:rPr>
      </w:pPr>
      <w:r w:rsidRPr="00E56625">
        <w:rPr>
          <w:sz w:val="22"/>
        </w:rPr>
        <w:t>Als het onderzoek voor de terugmelding door de (gemeentelijke) BAG-beheerder niet binnen twee dagen tot resultaat leidt, wordt het object ook in de BAG ‘in onderzoek’ ge</w:t>
      </w:r>
      <w:r w:rsidRPr="00E56625">
        <w:rPr>
          <w:sz w:val="22"/>
        </w:rPr>
        <w:softHyphen/>
        <w:t xml:space="preserve">plaatst. </w:t>
      </w:r>
      <w:r w:rsidR="006B34D7">
        <w:rPr>
          <w:sz w:val="22"/>
        </w:rPr>
        <w:t>Dit</w:t>
      </w:r>
      <w:r w:rsidRPr="00E56625">
        <w:rPr>
          <w:sz w:val="22"/>
        </w:rPr>
        <w:t xml:space="preserve"> heeft geen verdere gevolgen voor de afwik</w:t>
      </w:r>
      <w:r>
        <w:rPr>
          <w:sz w:val="22"/>
        </w:rPr>
        <w:softHyphen/>
      </w:r>
      <w:r w:rsidRPr="00E56625">
        <w:rPr>
          <w:sz w:val="22"/>
        </w:rPr>
        <w:t>ke</w:t>
      </w:r>
      <w:r w:rsidRPr="00E56625">
        <w:rPr>
          <w:sz w:val="22"/>
        </w:rPr>
        <w:softHyphen/>
        <w:t>ling in de GBA. Het beïnvloedt alleen de totale doorlooptijd.</w:t>
      </w:r>
    </w:p>
    <w:p w:rsidR="007C6C27" w:rsidRPr="00FC31FF" w:rsidRDefault="007C6C27" w:rsidP="007C6C27">
      <w:pPr>
        <w:jc w:val="both"/>
        <w:rPr>
          <w:sz w:val="6"/>
        </w:rPr>
      </w:pPr>
    </w:p>
    <w:p w:rsidR="007C6C27" w:rsidRPr="00E56625" w:rsidRDefault="007C6C27" w:rsidP="007C6C27">
      <w:pPr>
        <w:pStyle w:val="Lijstalinea"/>
        <w:numPr>
          <w:ilvl w:val="0"/>
          <w:numId w:val="8"/>
        </w:numPr>
        <w:jc w:val="both"/>
        <w:rPr>
          <w:sz w:val="22"/>
        </w:rPr>
      </w:pPr>
      <w:r w:rsidRPr="00E56625">
        <w:rPr>
          <w:sz w:val="22"/>
        </w:rPr>
        <w:t xml:space="preserve">Indien bij </w:t>
      </w:r>
      <w:r>
        <w:rPr>
          <w:sz w:val="22"/>
        </w:rPr>
        <w:t>de</w:t>
      </w:r>
      <w:r w:rsidRPr="00E56625">
        <w:rPr>
          <w:sz w:val="22"/>
        </w:rPr>
        <w:t xml:space="preserve"> onderzoek</w:t>
      </w:r>
      <w:r>
        <w:rPr>
          <w:sz w:val="22"/>
        </w:rPr>
        <w:t>en</w:t>
      </w:r>
      <w:r w:rsidRPr="00E56625">
        <w:rPr>
          <w:sz w:val="22"/>
        </w:rPr>
        <w:t xml:space="preserve"> voor de </w:t>
      </w:r>
      <w:r>
        <w:rPr>
          <w:sz w:val="22"/>
        </w:rPr>
        <w:t xml:space="preserve">GBA en/of de </w:t>
      </w:r>
      <w:r w:rsidRPr="00E56625">
        <w:rPr>
          <w:sz w:val="22"/>
        </w:rPr>
        <w:t>BAG een niet-legitieme situatie wordt aan</w:t>
      </w:r>
      <w:r>
        <w:rPr>
          <w:sz w:val="22"/>
        </w:rPr>
        <w:softHyphen/>
      </w:r>
      <w:r w:rsidRPr="00E56625">
        <w:rPr>
          <w:sz w:val="22"/>
        </w:rPr>
        <w:t>ge</w:t>
      </w:r>
      <w:r>
        <w:rPr>
          <w:sz w:val="22"/>
        </w:rPr>
        <w:softHyphen/>
      </w:r>
      <w:r w:rsidRPr="00E56625">
        <w:rPr>
          <w:sz w:val="22"/>
        </w:rPr>
        <w:t>troffen, kan de gemeente tot hand</w:t>
      </w:r>
      <w:r w:rsidRPr="00E56625">
        <w:rPr>
          <w:sz w:val="22"/>
        </w:rPr>
        <w:softHyphen/>
        <w:t>having of legalisering overgaan. Dit is een beslissing, die in principe los staat</w:t>
      </w:r>
      <w:r w:rsidR="006B34D7">
        <w:rPr>
          <w:sz w:val="22"/>
        </w:rPr>
        <w:t xml:space="preserve"> van het BAG- of het GBA-proces</w:t>
      </w:r>
      <w:r w:rsidRPr="00E56625">
        <w:rPr>
          <w:sz w:val="22"/>
        </w:rPr>
        <w:t>.</w:t>
      </w:r>
      <w:r w:rsidR="00E361F7">
        <w:rPr>
          <w:sz w:val="22"/>
        </w:rPr>
        <w:t xml:space="preserve"> Wel wordt de feitelijke situatie in een proces verbaal vastgelegd en hieruit kunnen mutaties in de BAG (en/of GBA) voortvloeien, zoals het </w:t>
      </w:r>
      <w:r w:rsidR="006E0488">
        <w:rPr>
          <w:sz w:val="22"/>
        </w:rPr>
        <w:t>opvoeren van een ‘geconstateerd</w:t>
      </w:r>
      <w:r w:rsidR="00E361F7">
        <w:rPr>
          <w:sz w:val="22"/>
        </w:rPr>
        <w:t xml:space="preserve"> object</w:t>
      </w:r>
      <w:r w:rsidR="006E0488">
        <w:rPr>
          <w:sz w:val="22"/>
        </w:rPr>
        <w:t>’</w:t>
      </w:r>
      <w:r w:rsidR="00E361F7">
        <w:rPr>
          <w:sz w:val="22"/>
        </w:rPr>
        <w:t>.</w:t>
      </w:r>
    </w:p>
    <w:p w:rsidR="007C6C27" w:rsidRPr="00FC31FF" w:rsidRDefault="007C6C27" w:rsidP="007C6C27">
      <w:pPr>
        <w:jc w:val="both"/>
        <w:rPr>
          <w:sz w:val="6"/>
        </w:rPr>
      </w:pPr>
    </w:p>
    <w:p w:rsidR="007C6C27" w:rsidRPr="00E56625" w:rsidRDefault="007C6C27" w:rsidP="007C6C27">
      <w:pPr>
        <w:pStyle w:val="Lijstalinea"/>
        <w:numPr>
          <w:ilvl w:val="0"/>
          <w:numId w:val="8"/>
        </w:numPr>
        <w:jc w:val="both"/>
        <w:rPr>
          <w:sz w:val="22"/>
        </w:rPr>
      </w:pPr>
      <w:r w:rsidRPr="00E56625">
        <w:rPr>
          <w:sz w:val="22"/>
        </w:rPr>
        <w:t xml:space="preserve">Een ‘gemeentelijke herindeling’ </w:t>
      </w:r>
      <w:r w:rsidR="00790B9D">
        <w:rPr>
          <w:sz w:val="22"/>
        </w:rPr>
        <w:t xml:space="preserve">wordt </w:t>
      </w:r>
      <w:r w:rsidRPr="00E56625">
        <w:rPr>
          <w:sz w:val="22"/>
        </w:rPr>
        <w:t>als een zelfstandig project aangepakt</w:t>
      </w:r>
      <w:r>
        <w:rPr>
          <w:sz w:val="22"/>
        </w:rPr>
        <w:t xml:space="preserve"> en wordt </w:t>
      </w:r>
      <w:r w:rsidR="00790B9D">
        <w:rPr>
          <w:sz w:val="22"/>
        </w:rPr>
        <w:t>verder</w:t>
      </w:r>
      <w:r>
        <w:rPr>
          <w:sz w:val="22"/>
        </w:rPr>
        <w:t xml:space="preserve"> niet als proces in deze handreiking beschreven.</w:t>
      </w:r>
    </w:p>
    <w:p w:rsidR="007C6C27" w:rsidRPr="00FC31FF" w:rsidRDefault="007C6C27" w:rsidP="007C6C27">
      <w:pPr>
        <w:jc w:val="both"/>
        <w:rPr>
          <w:sz w:val="6"/>
        </w:rPr>
      </w:pPr>
    </w:p>
    <w:p w:rsidR="00AB785A" w:rsidRPr="00634EDB" w:rsidRDefault="00AB785A" w:rsidP="00AB785A">
      <w:pPr>
        <w:pStyle w:val="Lijstalinea"/>
        <w:numPr>
          <w:ilvl w:val="0"/>
          <w:numId w:val="8"/>
        </w:numPr>
        <w:jc w:val="both"/>
        <w:rPr>
          <w:sz w:val="22"/>
        </w:rPr>
      </w:pPr>
      <w:r w:rsidRPr="00634EDB">
        <w:rPr>
          <w:sz w:val="22"/>
        </w:rPr>
        <w:t>Op termijn zal er gestreefd worden naar directe (real time) koppeling tus</w:t>
      </w:r>
      <w:r w:rsidRPr="00634EDB">
        <w:rPr>
          <w:sz w:val="22"/>
        </w:rPr>
        <w:softHyphen/>
        <w:t>sen de BAG en de GBA via de identificatiecodes van de objecten. Dan is het niet meer nodig dat in de GBA een kopie van de adressen aanwezig is, maar kun</w:t>
      </w:r>
      <w:r w:rsidRPr="00634EDB">
        <w:rPr>
          <w:sz w:val="22"/>
        </w:rPr>
        <w:softHyphen/>
        <w:t>nen deze recht</w:t>
      </w:r>
      <w:r w:rsidRPr="00634EDB">
        <w:rPr>
          <w:sz w:val="22"/>
        </w:rPr>
        <w:softHyphen/>
        <w:t>streeks aan de BAG worden ontleend</w:t>
      </w:r>
      <w:r w:rsidR="002F0571" w:rsidRPr="002F0571">
        <w:rPr>
          <w:sz w:val="22"/>
        </w:rPr>
        <w:t xml:space="preserve"> </w:t>
      </w:r>
      <w:r w:rsidR="002F0571" w:rsidRPr="00634EDB">
        <w:rPr>
          <w:sz w:val="22"/>
        </w:rPr>
        <w:t>via de identificatiecodes</w:t>
      </w:r>
      <w:r w:rsidRPr="00634EDB">
        <w:rPr>
          <w:sz w:val="22"/>
        </w:rPr>
        <w:t>. Dit heeft v</w:t>
      </w:r>
      <w:r w:rsidR="00725CC5">
        <w:rPr>
          <w:sz w:val="22"/>
        </w:rPr>
        <w:t>oor de procesgang geen gevolgen</w:t>
      </w:r>
      <w:r>
        <w:rPr>
          <w:sz w:val="22"/>
        </w:rPr>
        <w:t>.</w:t>
      </w:r>
    </w:p>
    <w:p w:rsidR="007C6C27" w:rsidRDefault="007C6C27" w:rsidP="007C6C27">
      <w:pPr>
        <w:jc w:val="both"/>
      </w:pPr>
    </w:p>
    <w:p w:rsidR="00683684" w:rsidRDefault="00683684" w:rsidP="00683684">
      <w:pPr>
        <w:jc w:val="both"/>
      </w:pPr>
    </w:p>
    <w:p w:rsidR="00683684" w:rsidRPr="006F1452" w:rsidRDefault="00683684" w:rsidP="006F1452">
      <w:pPr>
        <w:pStyle w:val="Kop2"/>
      </w:pPr>
      <w:r>
        <w:rPr>
          <w:sz w:val="28"/>
        </w:rPr>
        <w:br w:type="page"/>
      </w:r>
      <w:bookmarkStart w:id="6" w:name="_Toc161406693"/>
      <w:r w:rsidRPr="006F1452">
        <w:lastRenderedPageBreak/>
        <w:t>Scope en positionering van de processen</w:t>
      </w:r>
      <w:bookmarkEnd w:id="6"/>
    </w:p>
    <w:p w:rsidR="008F518A" w:rsidRDefault="00683684" w:rsidP="00683684">
      <w:pPr>
        <w:jc w:val="both"/>
      </w:pPr>
      <w:r>
        <w:t xml:space="preserve">De samenhang tussen de BAG en de GBA komt tot uiting bij de aangifte van een burger </w:t>
      </w:r>
      <w:r w:rsidR="00A739B8">
        <w:t>voor inschrij</w:t>
      </w:r>
      <w:r w:rsidR="00F55B3E">
        <w:softHyphen/>
      </w:r>
      <w:r w:rsidR="00A739B8">
        <w:t>ving of verhuizing en</w:t>
      </w:r>
      <w:r>
        <w:t xml:space="preserve"> bij mutaties in de BAG gedurende de levenscyclus van BAG-objecten (die ‘spon</w:t>
      </w:r>
      <w:r w:rsidR="00F55B3E">
        <w:softHyphen/>
      </w:r>
      <w:r>
        <w:t>ta</w:t>
      </w:r>
      <w:r w:rsidR="00F55B3E">
        <w:softHyphen/>
      </w:r>
      <w:r>
        <w:t>ne meld</w:t>
      </w:r>
      <w:r w:rsidR="00A739B8">
        <w:t>ingen’ voor de GBA veroorzaken).</w:t>
      </w:r>
    </w:p>
    <w:p w:rsidR="00A739B8" w:rsidRDefault="008F518A" w:rsidP="00A739B8">
      <w:pPr>
        <w:jc w:val="both"/>
      </w:pPr>
      <w:r>
        <w:t>De</w:t>
      </w:r>
      <w:r w:rsidR="00A739B8">
        <w:t xml:space="preserve"> </w:t>
      </w:r>
      <w:r w:rsidR="004D2201">
        <w:t>processtappen voor</w:t>
      </w:r>
      <w:r w:rsidR="00A739B8">
        <w:t xml:space="preserve"> ‘Inschrijven</w:t>
      </w:r>
      <w:r>
        <w:t xml:space="preserve"> in de GBA</w:t>
      </w:r>
      <w:r w:rsidR="00A739B8">
        <w:t xml:space="preserve">’ </w:t>
      </w:r>
      <w:r>
        <w:t>zijn verbijzonderingen van</w:t>
      </w:r>
      <w:r w:rsidR="00A739B8">
        <w:t xml:space="preserve"> </w:t>
      </w:r>
      <w:r>
        <w:t xml:space="preserve">het werkproces ‘Aangiften’ en behoren tot </w:t>
      </w:r>
      <w:r w:rsidR="00A739B8">
        <w:t xml:space="preserve">de </w:t>
      </w:r>
      <w:r w:rsidR="00A739B8" w:rsidRPr="00034957">
        <w:rPr>
          <w:i/>
        </w:rPr>
        <w:t>primaire processen</w:t>
      </w:r>
      <w:r>
        <w:t xml:space="preserve"> van de </w:t>
      </w:r>
      <w:r w:rsidR="00100D63">
        <w:t>gemeente</w:t>
      </w:r>
      <w:r w:rsidR="002E774F">
        <w:rPr>
          <w:rStyle w:val="Voetnootmarkering"/>
        </w:rPr>
        <w:footnoteReference w:id="1"/>
      </w:r>
      <w:r w:rsidR="00100D63">
        <w:t xml:space="preserve">. </w:t>
      </w:r>
      <w:r>
        <w:t>Deze activiteiten zijn</w:t>
      </w:r>
      <w:r w:rsidR="00A739B8">
        <w:t xml:space="preserve"> als volgt te positio</w:t>
      </w:r>
      <w:r w:rsidR="004D2201">
        <w:softHyphen/>
      </w:r>
      <w:r w:rsidR="00A739B8">
        <w:t>ne</w:t>
      </w:r>
      <w:r w:rsidR="004D2201">
        <w:softHyphen/>
      </w:r>
      <w:r w:rsidR="00A739B8">
        <w:t>ren binnen de proces</w:t>
      </w:r>
      <w:r w:rsidR="00A739B8">
        <w:softHyphen/>
        <w:t xml:space="preserve">hiërarchie van de </w:t>
      </w:r>
      <w:r w:rsidR="00100D63">
        <w:t>gemeente</w:t>
      </w:r>
      <w:r w:rsidR="008B11F5">
        <w:rPr>
          <w:rStyle w:val="Voetnootmarkering"/>
        </w:rPr>
        <w:footnoteReference w:id="2"/>
      </w:r>
      <w:r w:rsidR="00100D63">
        <w:t>:</w:t>
      </w:r>
    </w:p>
    <w:p w:rsidR="00A739B8" w:rsidRPr="00A35D5B" w:rsidRDefault="00A739B8" w:rsidP="00A739B8">
      <w:pPr>
        <w:widowControl w:val="0"/>
        <w:autoSpaceDE w:val="0"/>
        <w:autoSpaceDN w:val="0"/>
        <w:adjustRightInd w:val="0"/>
        <w:spacing w:after="0" w:line="240" w:lineRule="auto"/>
        <w:ind w:firstLine="709"/>
      </w:pPr>
      <w:r w:rsidRPr="00A35D5B">
        <w:t>Primaire processen</w:t>
      </w:r>
      <w:r>
        <w:t>.</w:t>
      </w:r>
    </w:p>
    <w:p w:rsidR="00A739B8" w:rsidRPr="00A35D5B" w:rsidRDefault="00A739B8" w:rsidP="00A739B8">
      <w:pPr>
        <w:widowControl w:val="0"/>
        <w:autoSpaceDE w:val="0"/>
        <w:autoSpaceDN w:val="0"/>
        <w:adjustRightInd w:val="0"/>
        <w:spacing w:after="0" w:line="240" w:lineRule="auto"/>
        <w:ind w:firstLine="709"/>
      </w:pPr>
      <w:r w:rsidRPr="00A35D5B">
        <w:t xml:space="preserve">   </w:t>
      </w:r>
      <w:r>
        <w:tab/>
        <w:t xml:space="preserve">   |----&gt;  </w:t>
      </w:r>
      <w:r w:rsidR="004D2201">
        <w:t xml:space="preserve">terrein </w:t>
      </w:r>
      <w:r w:rsidRPr="00A35D5B">
        <w:t>Beleidsuitvoering</w:t>
      </w:r>
      <w:r>
        <w:t>.</w:t>
      </w:r>
    </w:p>
    <w:p w:rsidR="00A739B8" w:rsidRPr="00A35D5B" w:rsidRDefault="00A739B8" w:rsidP="00A739B8">
      <w:pPr>
        <w:widowControl w:val="0"/>
        <w:autoSpaceDE w:val="0"/>
        <w:autoSpaceDN w:val="0"/>
        <w:adjustRightInd w:val="0"/>
        <w:spacing w:after="0" w:line="240" w:lineRule="auto"/>
        <w:ind w:firstLine="709"/>
      </w:pPr>
      <w:r w:rsidRPr="00A35D5B">
        <w:t>      </w:t>
      </w:r>
      <w:r>
        <w:tab/>
      </w:r>
      <w:r>
        <w:tab/>
        <w:t xml:space="preserve">    |----&gt;  Verstrekken van</w:t>
      </w:r>
      <w:r w:rsidRPr="00A35D5B">
        <w:t xml:space="preserve"> producten en diensten</w:t>
      </w:r>
      <w:r w:rsidR="004D2201">
        <w:t xml:space="preserve"> (niveau bedrijfsproces)</w:t>
      </w:r>
      <w:r>
        <w:t>.</w:t>
      </w:r>
    </w:p>
    <w:p w:rsidR="00A739B8" w:rsidRDefault="00A739B8" w:rsidP="00A739B8">
      <w:pPr>
        <w:widowControl w:val="0"/>
        <w:autoSpaceDE w:val="0"/>
        <w:autoSpaceDN w:val="0"/>
        <w:adjustRightInd w:val="0"/>
        <w:spacing w:after="0" w:line="240" w:lineRule="auto"/>
        <w:ind w:firstLine="709"/>
      </w:pPr>
      <w:r w:rsidRPr="00A35D5B">
        <w:t xml:space="preserve">         </w:t>
      </w:r>
      <w:r>
        <w:tab/>
      </w:r>
      <w:r>
        <w:tab/>
      </w:r>
      <w:r>
        <w:tab/>
        <w:t xml:space="preserve">     |----&gt; </w:t>
      </w:r>
      <w:r w:rsidR="0050762A">
        <w:t xml:space="preserve">Aangiften </w:t>
      </w:r>
      <w:r w:rsidR="004D2201">
        <w:t>(niveau werkproces)</w:t>
      </w:r>
      <w:r w:rsidR="008B11F5">
        <w:rPr>
          <w:rStyle w:val="Voetnootmarkering"/>
        </w:rPr>
        <w:footnoteReference w:id="3"/>
      </w:r>
      <w:r>
        <w:t>.</w:t>
      </w:r>
    </w:p>
    <w:p w:rsidR="009369B8" w:rsidRDefault="009369B8" w:rsidP="00A739B8">
      <w:pPr>
        <w:jc w:val="both"/>
      </w:pPr>
    </w:p>
    <w:p w:rsidR="007267BE" w:rsidRDefault="007267BE" w:rsidP="007267BE">
      <w:pPr>
        <w:jc w:val="both"/>
      </w:pPr>
      <w:r>
        <w:t xml:space="preserve">De andere in deze handreiking beschreven </w:t>
      </w:r>
      <w:r w:rsidR="00322D64">
        <w:t>processtappen</w:t>
      </w:r>
      <w:r>
        <w:t xml:space="preserve"> behoren tot de </w:t>
      </w:r>
      <w:r w:rsidRPr="00034957">
        <w:rPr>
          <w:i/>
        </w:rPr>
        <w:t>onder</w:t>
      </w:r>
      <w:r w:rsidRPr="00034957">
        <w:rPr>
          <w:i/>
        </w:rPr>
        <w:softHyphen/>
        <w:t>steunende processen</w:t>
      </w:r>
      <w:r>
        <w:t xml:space="preserve"> (in het bijzonder het bedrijfsproces ‘Administreren’) van de gemeente:</w:t>
      </w:r>
    </w:p>
    <w:p w:rsidR="007267BE" w:rsidRDefault="007267BE" w:rsidP="009F6830">
      <w:pPr>
        <w:pStyle w:val="Lijstalinea"/>
        <w:numPr>
          <w:ilvl w:val="0"/>
          <w:numId w:val="30"/>
        </w:numPr>
        <w:jc w:val="both"/>
        <w:rPr>
          <w:sz w:val="22"/>
        </w:rPr>
      </w:pPr>
      <w:r>
        <w:rPr>
          <w:sz w:val="22"/>
        </w:rPr>
        <w:t>Opvoeren mutaties in de BAG.</w:t>
      </w:r>
    </w:p>
    <w:p w:rsidR="00A739B8" w:rsidRPr="00776094" w:rsidRDefault="00A739B8" w:rsidP="009F6830">
      <w:pPr>
        <w:pStyle w:val="Lijstalinea"/>
        <w:numPr>
          <w:ilvl w:val="0"/>
          <w:numId w:val="30"/>
        </w:numPr>
        <w:jc w:val="both"/>
        <w:rPr>
          <w:sz w:val="22"/>
        </w:rPr>
      </w:pPr>
      <w:r w:rsidRPr="00776094">
        <w:rPr>
          <w:sz w:val="22"/>
        </w:rPr>
        <w:t>Signalen uit de BAG verwerken.</w:t>
      </w:r>
    </w:p>
    <w:p w:rsidR="00A739B8" w:rsidRDefault="00A739B8" w:rsidP="00A739B8">
      <w:pPr>
        <w:jc w:val="both"/>
      </w:pPr>
    </w:p>
    <w:p w:rsidR="00A739B8" w:rsidRDefault="00A739B8" w:rsidP="00A739B8">
      <w:pPr>
        <w:jc w:val="both"/>
      </w:pPr>
      <w:r>
        <w:t xml:space="preserve">Deze worden in de </w:t>
      </w:r>
      <w:r w:rsidRPr="00732153">
        <w:rPr>
          <w:i/>
        </w:rPr>
        <w:t>backoffice</w:t>
      </w:r>
      <w:r>
        <w:t xml:space="preserve"> voor de</w:t>
      </w:r>
      <w:r w:rsidR="004D2201" w:rsidRPr="004D2201">
        <w:t xml:space="preserve"> </w:t>
      </w:r>
      <w:r w:rsidR="004D2201">
        <w:t>BAG</w:t>
      </w:r>
      <w:r>
        <w:t>, respec</w:t>
      </w:r>
      <w:r>
        <w:softHyphen/>
        <w:t xml:space="preserve">tievelijk de </w:t>
      </w:r>
      <w:r w:rsidR="004D2201">
        <w:t>GBA</w:t>
      </w:r>
      <w:r>
        <w:t>, uitge</w:t>
      </w:r>
      <w:r>
        <w:softHyphen/>
        <w:t>voerd.</w:t>
      </w:r>
    </w:p>
    <w:p w:rsidR="00683684" w:rsidRDefault="00683684" w:rsidP="00683684">
      <w:pPr>
        <w:jc w:val="both"/>
      </w:pPr>
      <w:r>
        <w:t>De ‘initiële vulling’ van de GBA volgens Logisch Ontwerp 3.7 is in principe een eenmalige acti</w:t>
      </w:r>
      <w:r>
        <w:softHyphen/>
        <w:t>vi</w:t>
      </w:r>
      <w:r>
        <w:softHyphen/>
        <w:t>teit. Deze is sterk afhan</w:t>
      </w:r>
      <w:r>
        <w:softHyphen/>
        <w:t>kelijk van de bij de gemeente toegepaste GBA- en BAG-appli</w:t>
      </w:r>
      <w:r>
        <w:softHyphen/>
      </w:r>
      <w:r>
        <w:softHyphen/>
        <w:t>ca</w:t>
      </w:r>
      <w:r>
        <w:softHyphen/>
        <w:t>ties en wordt daarom niet verder in deze handreiking uitge</w:t>
      </w:r>
      <w:r>
        <w:softHyphen/>
        <w:t>werkt.</w:t>
      </w:r>
    </w:p>
    <w:p w:rsidR="00A739B8" w:rsidRDefault="00683684" w:rsidP="00A739B8">
      <w:pPr>
        <w:jc w:val="both"/>
      </w:pPr>
      <w:r>
        <w:t>Ook een ‘gemeentelijke herindeling’ wordt in deze handreiking niet verder uitge</w:t>
      </w:r>
      <w:r>
        <w:softHyphen/>
        <w:t>werkt. De herin</w:t>
      </w:r>
      <w:r w:rsidR="00FB2758">
        <w:softHyphen/>
      </w:r>
      <w:r>
        <w:t>de</w:t>
      </w:r>
      <w:r w:rsidR="00FB2758">
        <w:softHyphen/>
      </w:r>
      <w:r>
        <w:t>ling heeft meestal een zodanige omvang en gevolgen voor de BAG, de GBA en de koppe</w:t>
      </w:r>
      <w:r>
        <w:softHyphen/>
        <w:t>lin</w:t>
      </w:r>
      <w:r>
        <w:softHyphen/>
        <w:t>gen tussen beide, dat dit als een zelfstandig project wordt aange</w:t>
      </w:r>
      <w:r>
        <w:softHyphen/>
        <w:t xml:space="preserve">pakt. </w:t>
      </w:r>
    </w:p>
    <w:p w:rsidR="00683684" w:rsidRDefault="00683684" w:rsidP="00A739B8">
      <w:pPr>
        <w:jc w:val="both"/>
      </w:pPr>
    </w:p>
    <w:p w:rsidR="00683684" w:rsidRPr="0072473E" w:rsidRDefault="00683684" w:rsidP="000D15DA">
      <w:pPr>
        <w:pStyle w:val="Kop2"/>
      </w:pPr>
      <w:r>
        <w:rPr>
          <w:sz w:val="28"/>
        </w:rPr>
        <w:br w:type="page"/>
      </w:r>
      <w:bookmarkStart w:id="7" w:name="_Toc161406694"/>
      <w:r w:rsidRPr="000D15DA">
        <w:lastRenderedPageBreak/>
        <w:t>De gemeentelijke processen rondom de basisregistraties</w:t>
      </w:r>
      <w:bookmarkEnd w:id="7"/>
    </w:p>
    <w:p w:rsidR="00683684" w:rsidRDefault="00683684" w:rsidP="00683684">
      <w:pPr>
        <w:jc w:val="both"/>
      </w:pPr>
      <w:r>
        <w:t xml:space="preserve">De processen voor het </w:t>
      </w:r>
      <w:r w:rsidR="00BE60BA">
        <w:t>onder</w:t>
      </w:r>
      <w:r>
        <w:t>houden van de basisregistraties zijn bij gemeenten vaak bij ver</w:t>
      </w:r>
      <w:r>
        <w:softHyphen/>
        <w:t>schil</w:t>
      </w:r>
      <w:r>
        <w:softHyphen/>
        <w:t>len</w:t>
      </w:r>
      <w:r>
        <w:softHyphen/>
        <w:t xml:space="preserve">de </w:t>
      </w:r>
      <w:r w:rsidR="00BE60BA">
        <w:t>organisatieonderdelen</w:t>
      </w:r>
      <w:r>
        <w:t xml:space="preserve"> ondergebracht. </w:t>
      </w:r>
    </w:p>
    <w:p w:rsidR="00683684" w:rsidRPr="005B0B66" w:rsidRDefault="00683684" w:rsidP="00683684">
      <w:pPr>
        <w:pStyle w:val="Lijstalinea"/>
        <w:numPr>
          <w:ilvl w:val="0"/>
          <w:numId w:val="11"/>
        </w:numPr>
        <w:jc w:val="both"/>
        <w:rPr>
          <w:sz w:val="22"/>
        </w:rPr>
      </w:pPr>
      <w:r w:rsidRPr="005B0B66">
        <w:rPr>
          <w:sz w:val="22"/>
        </w:rPr>
        <w:t xml:space="preserve">De BAG wordt bijgewerkt als </w:t>
      </w:r>
      <w:r w:rsidR="00BC0D47">
        <w:rPr>
          <w:sz w:val="22"/>
        </w:rPr>
        <w:t>in het kader van</w:t>
      </w:r>
      <w:r w:rsidRPr="005B0B66">
        <w:rPr>
          <w:sz w:val="22"/>
        </w:rPr>
        <w:t xml:space="preserve"> de omge</w:t>
      </w:r>
      <w:r w:rsidRPr="005B0B66">
        <w:rPr>
          <w:sz w:val="22"/>
        </w:rPr>
        <w:softHyphen/>
        <w:t>vings</w:t>
      </w:r>
      <w:r w:rsidRPr="005B0B66">
        <w:rPr>
          <w:sz w:val="22"/>
        </w:rPr>
        <w:softHyphen/>
        <w:t>ver</w:t>
      </w:r>
      <w:r w:rsidRPr="005B0B66">
        <w:rPr>
          <w:sz w:val="22"/>
        </w:rPr>
        <w:softHyphen/>
        <w:t>gun</w:t>
      </w:r>
      <w:r w:rsidRPr="005B0B66">
        <w:rPr>
          <w:sz w:val="22"/>
        </w:rPr>
        <w:softHyphen/>
        <w:t>ning van de Wabo ver</w:t>
      </w:r>
      <w:r w:rsidRPr="005B0B66">
        <w:rPr>
          <w:sz w:val="22"/>
        </w:rPr>
        <w:softHyphen/>
        <w:t>gun</w:t>
      </w:r>
      <w:r w:rsidRPr="005B0B66">
        <w:rPr>
          <w:sz w:val="22"/>
        </w:rPr>
        <w:softHyphen/>
        <w:t>ning voor bouw of sloop wordt verleend, waar</w:t>
      </w:r>
      <w:r w:rsidRPr="005B0B66">
        <w:rPr>
          <w:sz w:val="22"/>
        </w:rPr>
        <w:softHyphen/>
        <w:t>door pan</w:t>
      </w:r>
      <w:r w:rsidRPr="005B0B66">
        <w:rPr>
          <w:sz w:val="22"/>
        </w:rPr>
        <w:softHyphen/>
        <w:t>den en verblijfs</w:t>
      </w:r>
      <w:r w:rsidRPr="005B0B66">
        <w:rPr>
          <w:sz w:val="22"/>
        </w:rPr>
        <w:softHyphen/>
        <w:t>objec</w:t>
      </w:r>
      <w:r w:rsidRPr="005B0B66">
        <w:rPr>
          <w:sz w:val="22"/>
        </w:rPr>
        <w:softHyphen/>
        <w:t>ten ontstaan of verdwij</w:t>
      </w:r>
      <w:r w:rsidR="00D21A7D">
        <w:rPr>
          <w:sz w:val="22"/>
        </w:rPr>
        <w:softHyphen/>
      </w:r>
      <w:r w:rsidRPr="005B0B66">
        <w:rPr>
          <w:sz w:val="22"/>
        </w:rPr>
        <w:t xml:space="preserve">nen. </w:t>
      </w:r>
      <w:r w:rsidR="00F37C69">
        <w:rPr>
          <w:sz w:val="22"/>
        </w:rPr>
        <w:t xml:space="preserve">In de bouwfase wordt de status van de BAG-objecten bijgewerkt. </w:t>
      </w:r>
      <w:r w:rsidRPr="005B0B66">
        <w:rPr>
          <w:sz w:val="22"/>
        </w:rPr>
        <w:t>Hierbij zijn bouw- en woning</w:t>
      </w:r>
      <w:r w:rsidRPr="005B0B66">
        <w:rPr>
          <w:sz w:val="22"/>
        </w:rPr>
        <w:softHyphen/>
        <w:t xml:space="preserve">toezicht en BAG-beheer betrokken. </w:t>
      </w:r>
    </w:p>
    <w:p w:rsidR="00683684" w:rsidRPr="005B0B66" w:rsidRDefault="00683684" w:rsidP="00683684">
      <w:pPr>
        <w:pStyle w:val="Lijstalinea"/>
        <w:numPr>
          <w:ilvl w:val="0"/>
          <w:numId w:val="11"/>
        </w:numPr>
        <w:jc w:val="both"/>
        <w:rPr>
          <w:sz w:val="22"/>
        </w:rPr>
      </w:pPr>
      <w:r w:rsidRPr="005B0B66">
        <w:rPr>
          <w:sz w:val="22"/>
        </w:rPr>
        <w:t>Personen worden inge</w:t>
      </w:r>
      <w:r w:rsidRPr="005B0B66">
        <w:rPr>
          <w:sz w:val="22"/>
        </w:rPr>
        <w:softHyphen/>
        <w:t>schre</w:t>
      </w:r>
      <w:r w:rsidRPr="005B0B66">
        <w:rPr>
          <w:sz w:val="22"/>
        </w:rPr>
        <w:softHyphen/>
        <w:t xml:space="preserve">ven in de GBA bij </w:t>
      </w:r>
      <w:r w:rsidR="00BE60BA">
        <w:rPr>
          <w:sz w:val="22"/>
        </w:rPr>
        <w:t>b</w:t>
      </w:r>
      <w:r w:rsidRPr="005B0B66">
        <w:rPr>
          <w:sz w:val="22"/>
        </w:rPr>
        <w:t>urger</w:t>
      </w:r>
      <w:r w:rsidRPr="005B0B66">
        <w:rPr>
          <w:sz w:val="22"/>
        </w:rPr>
        <w:softHyphen/>
        <w:t>zaken, waarbij nu reke</w:t>
      </w:r>
      <w:r w:rsidRPr="005B0B66">
        <w:rPr>
          <w:sz w:val="22"/>
        </w:rPr>
        <w:softHyphen/>
        <w:t xml:space="preserve">ning moet worden gehouden met adressen uit de BAG. </w:t>
      </w:r>
    </w:p>
    <w:p w:rsidR="00683684" w:rsidRPr="005B0B66" w:rsidRDefault="001F60D8" w:rsidP="00683684">
      <w:pPr>
        <w:pStyle w:val="Lijstalinea"/>
        <w:numPr>
          <w:ilvl w:val="0"/>
          <w:numId w:val="11"/>
        </w:numPr>
        <w:jc w:val="both"/>
        <w:rPr>
          <w:sz w:val="22"/>
        </w:rPr>
      </w:pPr>
      <w:r w:rsidRPr="005B0B66">
        <w:rPr>
          <w:sz w:val="22"/>
        </w:rPr>
        <w:t>Gemeente</w:t>
      </w:r>
      <w:r w:rsidRPr="005B0B66">
        <w:rPr>
          <w:sz w:val="22"/>
        </w:rPr>
        <w:softHyphen/>
        <w:t>be</w:t>
      </w:r>
      <w:r w:rsidRPr="005B0B66">
        <w:rPr>
          <w:sz w:val="22"/>
        </w:rPr>
        <w:softHyphen/>
        <w:t>las</w:t>
      </w:r>
      <w:r w:rsidRPr="005B0B66">
        <w:rPr>
          <w:sz w:val="22"/>
        </w:rPr>
        <w:softHyphen/>
        <w:t xml:space="preserve">tingen </w:t>
      </w:r>
      <w:r w:rsidR="00F311A0">
        <w:rPr>
          <w:sz w:val="22"/>
        </w:rPr>
        <w:t>voert</w:t>
      </w:r>
      <w:r w:rsidRPr="005B0B66">
        <w:rPr>
          <w:sz w:val="22"/>
        </w:rPr>
        <w:t xml:space="preserve"> de WOZ</w:t>
      </w:r>
      <w:r w:rsidR="00F311A0">
        <w:rPr>
          <w:sz w:val="22"/>
        </w:rPr>
        <w:t xml:space="preserve"> uit</w:t>
      </w:r>
      <w:r w:rsidRPr="005B0B66">
        <w:rPr>
          <w:sz w:val="22"/>
        </w:rPr>
        <w:t>, waar</w:t>
      </w:r>
      <w:r w:rsidR="00F311A0">
        <w:rPr>
          <w:sz w:val="22"/>
        </w:rPr>
        <w:t>bij</w:t>
      </w:r>
      <w:r w:rsidRPr="005B0B66">
        <w:rPr>
          <w:sz w:val="22"/>
        </w:rPr>
        <w:t xml:space="preserve"> panden</w:t>
      </w:r>
      <w:r>
        <w:rPr>
          <w:sz w:val="22"/>
        </w:rPr>
        <w:t>, verblijfsobjecten, etc.</w:t>
      </w:r>
      <w:r w:rsidRPr="005B0B66">
        <w:rPr>
          <w:sz w:val="22"/>
        </w:rPr>
        <w:t xml:space="preserve"> aan de BAG, percelen aan de BRK (Kadaster) en belastingplichtigen aan de GBA worden ontleend</w:t>
      </w:r>
      <w:r w:rsidR="00683684" w:rsidRPr="005B0B66">
        <w:rPr>
          <w:sz w:val="22"/>
        </w:rPr>
        <w:t>.</w:t>
      </w:r>
    </w:p>
    <w:p w:rsidR="00683684" w:rsidRDefault="00683684" w:rsidP="00683684">
      <w:pPr>
        <w:jc w:val="both"/>
      </w:pPr>
    </w:p>
    <w:p w:rsidR="00683684" w:rsidRDefault="00683684" w:rsidP="00683684">
      <w:pPr>
        <w:jc w:val="both"/>
      </w:pPr>
      <w:r>
        <w:t xml:space="preserve">Bij vergunningverlening en inschrijving hebben burgers of bedrijven allereerst contact via de </w:t>
      </w:r>
      <w:r w:rsidRPr="007D7A24">
        <w:rPr>
          <w:i/>
        </w:rPr>
        <w:t>front</w:t>
      </w:r>
      <w:r w:rsidRPr="007D7A24">
        <w:rPr>
          <w:i/>
        </w:rPr>
        <w:softHyphen/>
        <w:t>office</w:t>
      </w:r>
      <w:r>
        <w:rPr>
          <w:rStyle w:val="Voetnootmarkering"/>
        </w:rPr>
        <w:footnoteReference w:id="4"/>
      </w:r>
      <w:r>
        <w:t xml:space="preserve"> van de gemeente. De specialistische taken rond de basis</w:t>
      </w:r>
      <w:r>
        <w:softHyphen/>
        <w:t xml:space="preserve">registraties worden in de </w:t>
      </w:r>
      <w:r w:rsidRPr="007D7A24">
        <w:rPr>
          <w:i/>
        </w:rPr>
        <w:t>backoffice</w:t>
      </w:r>
      <w:r>
        <w:t xml:space="preserve"> uitgevoerd, terwijl de verbindende schakels tussen de verschillende specialismen via de </w:t>
      </w:r>
      <w:r w:rsidRPr="004A7881">
        <w:rPr>
          <w:i/>
        </w:rPr>
        <w:t>midoffice</w:t>
      </w:r>
      <w:r>
        <w:t xml:space="preserve"> tot stand komen. Daar vindt ook, waar nodig, besturing en voortgangsbewaking plaats.</w:t>
      </w:r>
    </w:p>
    <w:p w:rsidR="000A530E" w:rsidRDefault="00683684" w:rsidP="00683684">
      <w:pPr>
        <w:jc w:val="both"/>
      </w:pPr>
      <w:r>
        <w:t>Het is verstandig om de inrichting van processen en de daarvoor ondersteu</w:t>
      </w:r>
      <w:r>
        <w:softHyphen/>
        <w:t>nen</w:t>
      </w:r>
      <w:r>
        <w:softHyphen/>
        <w:t>de infor</w:t>
      </w:r>
      <w:r>
        <w:softHyphen/>
        <w:t>ma</w:t>
      </w:r>
      <w:r>
        <w:softHyphen/>
        <w:t>tie</w:t>
      </w:r>
      <w:r>
        <w:softHyphen/>
        <w:t>voorziening in een breder verband te bekij</w:t>
      </w:r>
      <w:r>
        <w:softHyphen/>
        <w:t>ken (het is meer dan het aan elkaar knopen van losse systemen). Bij taken die slechts incidenteel worden uitgevoerd valt te denken aan een deels hand</w:t>
      </w:r>
      <w:r>
        <w:softHyphen/>
        <w:t xml:space="preserve">matige werkwijze. Verder kan – voor zover de wet dit toelaat </w:t>
      </w:r>
      <w:r w:rsidR="00A83C90">
        <w:t xml:space="preserve">– </w:t>
      </w:r>
      <w:r>
        <w:t>een keuze worden gemaakt tussen het gebruik van de eigen registraties of de lan</w:t>
      </w:r>
      <w:r>
        <w:softHyphen/>
        <w:t>de</w:t>
      </w:r>
      <w:r>
        <w:softHyphen/>
        <w:t xml:space="preserve">lijke voorzieningen. </w:t>
      </w:r>
    </w:p>
    <w:p w:rsidR="00683684" w:rsidRDefault="000A530E" w:rsidP="00683684">
      <w:pPr>
        <w:jc w:val="both"/>
      </w:pPr>
      <w:r>
        <w:t>Afwegingen om</w:t>
      </w:r>
      <w:r w:rsidR="00683684">
        <w:t xml:space="preserve"> syste</w:t>
      </w:r>
      <w:r w:rsidR="00683684">
        <w:softHyphen/>
        <w:t>men binnen</w:t>
      </w:r>
      <w:r w:rsidR="00683684">
        <w:softHyphen/>
        <w:t>ge</w:t>
      </w:r>
      <w:r w:rsidR="00683684">
        <w:softHyphen/>
        <w:t>meen</w:t>
      </w:r>
      <w:r w:rsidR="00683684">
        <w:softHyphen/>
        <w:t>te</w:t>
      </w:r>
      <w:r w:rsidR="00683684">
        <w:softHyphen/>
        <w:t>lij</w:t>
      </w:r>
      <w:r w:rsidR="00A83C90">
        <w:t>k te koppelen hebben betrekking op</w:t>
      </w:r>
      <w:r w:rsidR="00683684">
        <w:t>:</w:t>
      </w:r>
    </w:p>
    <w:p w:rsidR="00683684" w:rsidRPr="007D78D3" w:rsidRDefault="00683684" w:rsidP="00683684">
      <w:pPr>
        <w:pStyle w:val="Lijstalinea"/>
        <w:numPr>
          <w:ilvl w:val="0"/>
          <w:numId w:val="9"/>
        </w:numPr>
        <w:jc w:val="both"/>
        <w:rPr>
          <w:sz w:val="22"/>
        </w:rPr>
      </w:pPr>
      <w:r w:rsidRPr="007D78D3">
        <w:rPr>
          <w:sz w:val="22"/>
        </w:rPr>
        <w:t>de frequen</w:t>
      </w:r>
      <w:r w:rsidRPr="007D78D3">
        <w:rPr>
          <w:sz w:val="22"/>
        </w:rPr>
        <w:softHyphen/>
        <w:t xml:space="preserve">tie van het gebruik, </w:t>
      </w:r>
    </w:p>
    <w:p w:rsidR="00683684" w:rsidRPr="007D78D3" w:rsidRDefault="00683684" w:rsidP="00683684">
      <w:pPr>
        <w:pStyle w:val="Lijstalinea"/>
        <w:numPr>
          <w:ilvl w:val="0"/>
          <w:numId w:val="9"/>
        </w:numPr>
        <w:jc w:val="both"/>
        <w:rPr>
          <w:sz w:val="22"/>
        </w:rPr>
      </w:pPr>
      <w:r w:rsidRPr="007D78D3">
        <w:rPr>
          <w:sz w:val="22"/>
        </w:rPr>
        <w:t>de gewenste kwaliteit van infor</w:t>
      </w:r>
      <w:r w:rsidRPr="007D78D3">
        <w:rPr>
          <w:sz w:val="22"/>
        </w:rPr>
        <w:softHyphen/>
        <w:t>ma</w:t>
      </w:r>
      <w:r w:rsidRPr="007D78D3">
        <w:rPr>
          <w:sz w:val="22"/>
        </w:rPr>
        <w:softHyphen/>
        <w:t>tie</w:t>
      </w:r>
      <w:r w:rsidRPr="007D78D3">
        <w:rPr>
          <w:sz w:val="22"/>
        </w:rPr>
        <w:softHyphen/>
        <w:t xml:space="preserve">overdracht, </w:t>
      </w:r>
    </w:p>
    <w:p w:rsidR="00683684" w:rsidRPr="007D78D3" w:rsidRDefault="00683684" w:rsidP="00683684">
      <w:pPr>
        <w:pStyle w:val="Lijstalinea"/>
        <w:numPr>
          <w:ilvl w:val="0"/>
          <w:numId w:val="9"/>
        </w:numPr>
        <w:jc w:val="both"/>
        <w:rPr>
          <w:sz w:val="22"/>
        </w:rPr>
      </w:pPr>
      <w:r w:rsidRPr="007D78D3">
        <w:rPr>
          <w:sz w:val="22"/>
        </w:rPr>
        <w:t>de mogelijkheid de binnengemeentelijke processen te optima</w:t>
      </w:r>
      <w:r w:rsidRPr="007D78D3">
        <w:rPr>
          <w:sz w:val="22"/>
        </w:rPr>
        <w:softHyphen/>
        <w:t>li</w:t>
      </w:r>
      <w:r w:rsidRPr="007D78D3">
        <w:rPr>
          <w:sz w:val="22"/>
        </w:rPr>
        <w:softHyphen/>
        <w:t>se</w:t>
      </w:r>
      <w:r w:rsidRPr="007D78D3">
        <w:rPr>
          <w:sz w:val="22"/>
        </w:rPr>
        <w:softHyphen/>
        <w:t xml:space="preserve">ren, </w:t>
      </w:r>
    </w:p>
    <w:p w:rsidR="00683684" w:rsidRPr="007D78D3" w:rsidRDefault="00683684" w:rsidP="00683684">
      <w:pPr>
        <w:pStyle w:val="Lijstalinea"/>
        <w:numPr>
          <w:ilvl w:val="0"/>
          <w:numId w:val="9"/>
        </w:numPr>
        <w:jc w:val="both"/>
        <w:rPr>
          <w:sz w:val="22"/>
        </w:rPr>
      </w:pPr>
      <w:r w:rsidRPr="007D78D3">
        <w:rPr>
          <w:sz w:val="22"/>
        </w:rPr>
        <w:t>de kosten van koppelingen voor geautomatiseerde verwerking,</w:t>
      </w:r>
    </w:p>
    <w:p w:rsidR="00683684" w:rsidRPr="007D78D3" w:rsidRDefault="00683684" w:rsidP="00683684">
      <w:pPr>
        <w:pStyle w:val="Lijstalinea"/>
        <w:numPr>
          <w:ilvl w:val="0"/>
          <w:numId w:val="9"/>
        </w:numPr>
        <w:jc w:val="both"/>
        <w:rPr>
          <w:sz w:val="22"/>
        </w:rPr>
      </w:pPr>
      <w:r w:rsidRPr="007D78D3">
        <w:rPr>
          <w:sz w:val="22"/>
        </w:rPr>
        <w:t>de (on)mogelijkheden van beschikbare ICT-voorzieningen.</w:t>
      </w:r>
    </w:p>
    <w:p w:rsidR="00683684" w:rsidRDefault="00683684" w:rsidP="00683684">
      <w:pPr>
        <w:jc w:val="both"/>
      </w:pPr>
    </w:p>
    <w:p w:rsidR="00683684" w:rsidRPr="00AD29FF" w:rsidRDefault="00683684" w:rsidP="00054ED3">
      <w:pPr>
        <w:pStyle w:val="Kop1"/>
      </w:pPr>
      <w:r>
        <w:br w:type="page"/>
      </w:r>
      <w:bookmarkStart w:id="8" w:name="_Toc161406695"/>
      <w:r>
        <w:lastRenderedPageBreak/>
        <w:t>P</w:t>
      </w:r>
      <w:r w:rsidRPr="00AD29FF">
        <w:t>rocessen</w:t>
      </w:r>
      <w:r>
        <w:t xml:space="preserve"> voor de BAG en de GBA</w:t>
      </w:r>
      <w:bookmarkEnd w:id="8"/>
    </w:p>
    <w:p w:rsidR="009638CA" w:rsidRPr="000A035B" w:rsidRDefault="000A035B" w:rsidP="009638CA">
      <w:pPr>
        <w:jc w:val="both"/>
      </w:pPr>
      <w:r>
        <w:t xml:space="preserve">De processen en de naamgeving </w:t>
      </w:r>
      <w:r w:rsidRPr="00A40EA9">
        <w:rPr>
          <w:rFonts w:ascii="Calibri" w:hAnsi="Calibri"/>
        </w:rPr>
        <w:t xml:space="preserve">van de activiteiten </w:t>
      </w:r>
      <w:r>
        <w:t xml:space="preserve">sluiten zo dicht mogelijk aan bij de beschrijving in het boekje ‘Samenhang BAG en GBA’, versie 1.1, 20 augustus 2009. Zie bijlage E voor het overzicht van de documentatie. </w:t>
      </w:r>
      <w:r w:rsidR="009638CA" w:rsidRPr="00A40EA9">
        <w:rPr>
          <w:rFonts w:ascii="Calibri" w:hAnsi="Calibri"/>
        </w:rPr>
        <w:t>Een aantal opmerkingen en toelichtingen uit het boekje is hier niet herhaald. Deze verhelderen aspecten die voor een beter begrip van de hier beschre</w:t>
      </w:r>
      <w:r w:rsidR="009638CA" w:rsidRPr="00A40EA9">
        <w:rPr>
          <w:rFonts w:ascii="Calibri" w:hAnsi="Calibri"/>
        </w:rPr>
        <w:softHyphen/>
        <w:t>ven proces</w:t>
      </w:r>
      <w:r w:rsidR="009638CA" w:rsidRPr="00A40EA9">
        <w:rPr>
          <w:rFonts w:ascii="Calibri" w:hAnsi="Calibri"/>
        </w:rPr>
        <w:softHyphen/>
        <w:t>gang nuttig kunnen zijn.</w:t>
      </w:r>
    </w:p>
    <w:p w:rsidR="009638CA" w:rsidRPr="00A40EA9" w:rsidRDefault="009638CA" w:rsidP="009638CA">
      <w:pPr>
        <w:jc w:val="both"/>
        <w:rPr>
          <w:rFonts w:ascii="Calibri" w:hAnsi="Calibri"/>
        </w:rPr>
      </w:pPr>
      <w:r w:rsidRPr="00A40EA9">
        <w:rPr>
          <w:rFonts w:ascii="Calibri" w:hAnsi="Calibri"/>
        </w:rPr>
        <w:t xml:space="preserve">Gemeenten kunnen de procesbeschrijvingen als </w:t>
      </w:r>
      <w:r w:rsidRPr="00A40EA9">
        <w:rPr>
          <w:rFonts w:ascii="Calibri" w:hAnsi="Calibri"/>
          <w:i/>
        </w:rPr>
        <w:t>voorbeelden</w:t>
      </w:r>
      <w:r w:rsidRPr="00A40EA9">
        <w:rPr>
          <w:rFonts w:ascii="Calibri" w:hAnsi="Calibri"/>
        </w:rPr>
        <w:t xml:space="preserve"> gebruiken om een eigen inrich</w:t>
      </w:r>
      <w:r w:rsidRPr="00A40EA9">
        <w:rPr>
          <w:rFonts w:ascii="Calibri" w:hAnsi="Calibri"/>
        </w:rPr>
        <w:softHyphen/>
        <w:t>tings</w:t>
      </w:r>
      <w:r w:rsidRPr="00A40EA9">
        <w:rPr>
          <w:rFonts w:ascii="Calibri" w:hAnsi="Calibri"/>
        </w:rPr>
        <w:softHyphen/>
        <w:t>vorm te bepa</w:t>
      </w:r>
      <w:r w:rsidRPr="00A40EA9">
        <w:rPr>
          <w:rFonts w:ascii="Calibri" w:hAnsi="Calibri"/>
        </w:rPr>
        <w:softHyphen/>
        <w:t>len. In de processchema’s en de beschrijving van de processtappen of activiteiten wor</w:t>
      </w:r>
      <w:r w:rsidRPr="00A40EA9">
        <w:rPr>
          <w:rFonts w:ascii="Calibri" w:hAnsi="Calibri"/>
        </w:rPr>
        <w:softHyphen/>
        <w:t xml:space="preserve">den </w:t>
      </w:r>
      <w:r w:rsidRPr="00A40EA9">
        <w:rPr>
          <w:rFonts w:ascii="Calibri" w:hAnsi="Calibri"/>
          <w:i/>
        </w:rPr>
        <w:t>rollen</w:t>
      </w:r>
      <w:r w:rsidRPr="00A40EA9">
        <w:rPr>
          <w:rFonts w:ascii="Calibri" w:hAnsi="Calibri"/>
        </w:rPr>
        <w:t xml:space="preserve"> gebruikt, zoals Klantcontact, Zaakcoördinator en </w:t>
      </w:r>
      <w:r w:rsidR="001C74F6">
        <w:rPr>
          <w:rFonts w:ascii="Calibri" w:hAnsi="Calibri"/>
        </w:rPr>
        <w:t>GBA</w:t>
      </w:r>
      <w:r w:rsidRPr="00A40EA9">
        <w:rPr>
          <w:rFonts w:ascii="Calibri" w:hAnsi="Calibri"/>
        </w:rPr>
        <w:t xml:space="preserve">- en </w:t>
      </w:r>
      <w:r w:rsidR="001C74F6">
        <w:rPr>
          <w:rFonts w:ascii="Calibri" w:hAnsi="Calibri"/>
        </w:rPr>
        <w:t>BAG</w:t>
      </w:r>
      <w:r w:rsidRPr="00A40EA9">
        <w:rPr>
          <w:rFonts w:ascii="Calibri" w:hAnsi="Calibri"/>
        </w:rPr>
        <w:t xml:space="preserve"> Specialist. Deze lijken orga</w:t>
      </w:r>
      <w:r w:rsidR="00C550FE">
        <w:rPr>
          <w:rFonts w:ascii="Calibri" w:hAnsi="Calibri"/>
        </w:rPr>
        <w:softHyphen/>
      </w:r>
      <w:r w:rsidRPr="00A40EA9">
        <w:rPr>
          <w:rFonts w:ascii="Calibri" w:hAnsi="Calibri"/>
        </w:rPr>
        <w:t>nie</w:t>
      </w:r>
      <w:r w:rsidR="00C550FE">
        <w:rPr>
          <w:rFonts w:ascii="Calibri" w:hAnsi="Calibri"/>
        </w:rPr>
        <w:softHyphen/>
      </w:r>
      <w:r w:rsidRPr="00A40EA9">
        <w:rPr>
          <w:rFonts w:ascii="Calibri" w:hAnsi="Calibri"/>
        </w:rPr>
        <w:t xml:space="preserve">ke functies en afdelingen aan te duiden, maar het is juist de bedoeling dat deze </w:t>
      </w:r>
      <w:r w:rsidRPr="00A40EA9">
        <w:rPr>
          <w:rFonts w:ascii="Calibri" w:hAnsi="Calibri"/>
          <w:i/>
        </w:rPr>
        <w:t>rollen</w:t>
      </w:r>
      <w:r w:rsidRPr="00A40EA9">
        <w:rPr>
          <w:rFonts w:ascii="Calibri" w:hAnsi="Calibri"/>
        </w:rPr>
        <w:t xml:space="preserve"> kunnen worden toegewezen aan functies en medewerkers, waarbij de gemeente alle vrijheid heeft om rollen te bundelen of op te splitsen en binnen organisatorische eenheden onder te brengen op een wijze die in de gemeentelijke organisatie past.</w:t>
      </w:r>
    </w:p>
    <w:p w:rsidR="009638CA" w:rsidRPr="00A40EA9" w:rsidRDefault="009638CA" w:rsidP="009638CA">
      <w:pPr>
        <w:jc w:val="both"/>
        <w:rPr>
          <w:rFonts w:ascii="Calibri" w:hAnsi="Calibri"/>
        </w:rPr>
      </w:pPr>
      <w:r w:rsidRPr="00A40EA9">
        <w:rPr>
          <w:rFonts w:ascii="Calibri" w:hAnsi="Calibri"/>
        </w:rPr>
        <w:t>In de processchema’s</w:t>
      </w:r>
      <w:r w:rsidR="0048245C">
        <w:rPr>
          <w:rStyle w:val="Voetnootmarkering"/>
          <w:rFonts w:ascii="Calibri" w:hAnsi="Calibri"/>
        </w:rPr>
        <w:footnoteReference w:id="5"/>
      </w:r>
      <w:r w:rsidRPr="00A40EA9">
        <w:rPr>
          <w:rFonts w:ascii="Calibri" w:hAnsi="Calibri"/>
        </w:rPr>
        <w:t xml:space="preserve"> wordt met de rol Klantcontact een generieke vorm van klantcontact aange</w:t>
      </w:r>
      <w:r w:rsidRPr="00A40EA9">
        <w:rPr>
          <w:rFonts w:ascii="Calibri" w:hAnsi="Calibri"/>
        </w:rPr>
        <w:softHyphen/>
        <w:t>duid, die zoveel mogelijk onafhankelijk is van het kanaal naar de Klant (balie, telefoon, brief, e-mail, Internet, etc.) en de inhoud van de dienstverlening. De gemeente kan er echter voor kiezen dit klant</w:t>
      </w:r>
      <w:r w:rsidRPr="00A40EA9">
        <w:rPr>
          <w:rFonts w:ascii="Calibri" w:hAnsi="Calibri"/>
        </w:rPr>
        <w:softHyphen/>
        <w:t>contact op een specifieke manier in te vullen, zowel naar kanaal als gericht op het</w:t>
      </w:r>
      <w:r>
        <w:rPr>
          <w:rFonts w:ascii="Calibri" w:hAnsi="Calibri"/>
        </w:rPr>
        <w:t xml:space="preserve"> type</w:t>
      </w:r>
      <w:r w:rsidRPr="00A40EA9">
        <w:rPr>
          <w:rFonts w:ascii="Calibri" w:hAnsi="Calibri"/>
        </w:rPr>
        <w:t xml:space="preserve"> van de dienstverlening.</w:t>
      </w:r>
    </w:p>
    <w:p w:rsidR="009638CA" w:rsidRPr="00A40EA9" w:rsidRDefault="009638CA" w:rsidP="009638CA">
      <w:pPr>
        <w:jc w:val="both"/>
        <w:rPr>
          <w:rFonts w:ascii="Calibri" w:hAnsi="Calibri"/>
        </w:rPr>
      </w:pPr>
      <w:r w:rsidRPr="00A40EA9">
        <w:rPr>
          <w:rFonts w:ascii="Calibri" w:hAnsi="Calibri"/>
        </w:rPr>
        <w:t>De rol van de Zaakcoördinator is gericht op het zaakgericht werken, zoals het in de GEMMA-proces</w:t>
      </w:r>
      <w:r w:rsidRPr="00A40EA9">
        <w:rPr>
          <w:rFonts w:ascii="Calibri" w:hAnsi="Calibri"/>
        </w:rPr>
        <w:softHyphen/>
        <w:t>architectuur wordt aanbevolen en uitgewerkt. Maar als de gemeente nog geen stappen heeft onder</w:t>
      </w:r>
      <w:r w:rsidRPr="00A40EA9">
        <w:rPr>
          <w:rFonts w:ascii="Calibri" w:hAnsi="Calibri"/>
        </w:rPr>
        <w:softHyphen/>
        <w:t xml:space="preserve">nomen om zaakgericht werken in te voeren, zijn grote delen van de beschreven processen toch te gebruiken als voorbeeld voor de inrichtingsvorm. </w:t>
      </w:r>
      <w:r>
        <w:rPr>
          <w:rFonts w:ascii="Calibri" w:hAnsi="Calibri"/>
        </w:rPr>
        <w:t>Immers</w:t>
      </w:r>
      <w:r w:rsidR="00276314">
        <w:rPr>
          <w:rFonts w:ascii="Calibri" w:hAnsi="Calibri"/>
        </w:rPr>
        <w:t>,</w:t>
      </w:r>
      <w:r>
        <w:rPr>
          <w:rFonts w:ascii="Calibri" w:hAnsi="Calibri"/>
        </w:rPr>
        <w:t xml:space="preserve"> </w:t>
      </w:r>
      <w:r w:rsidRPr="00A40EA9">
        <w:rPr>
          <w:rFonts w:ascii="Calibri" w:hAnsi="Calibri"/>
        </w:rPr>
        <w:t>bij andere vormen van proces</w:t>
      </w:r>
      <w:r>
        <w:rPr>
          <w:rFonts w:ascii="Calibri" w:hAnsi="Calibri"/>
        </w:rPr>
        <w:t>coördinatie</w:t>
      </w:r>
      <w:r w:rsidRPr="00A40EA9">
        <w:rPr>
          <w:rFonts w:ascii="Calibri" w:hAnsi="Calibri"/>
        </w:rPr>
        <w:t xml:space="preserve"> en procesbeheersing zullen er vergelijkbare activiteiten, al dan niet geautomatiseerd, moeten worden uit</w:t>
      </w:r>
      <w:r w:rsidRPr="00A40EA9">
        <w:rPr>
          <w:rFonts w:ascii="Calibri" w:hAnsi="Calibri"/>
        </w:rPr>
        <w:softHyphen/>
        <w:t xml:space="preserve">gevoerd. De inhoudelijke activiteiten in de </w:t>
      </w:r>
      <w:r w:rsidR="00550D17">
        <w:rPr>
          <w:rFonts w:ascii="Calibri" w:hAnsi="Calibri"/>
        </w:rPr>
        <w:t>GBA</w:t>
      </w:r>
      <w:r w:rsidR="00550D17" w:rsidRPr="00A40EA9">
        <w:rPr>
          <w:rFonts w:ascii="Calibri" w:hAnsi="Calibri"/>
        </w:rPr>
        <w:t xml:space="preserve">- en </w:t>
      </w:r>
      <w:r w:rsidR="00550D17">
        <w:rPr>
          <w:rFonts w:ascii="Calibri" w:hAnsi="Calibri"/>
        </w:rPr>
        <w:t>BAG</w:t>
      </w:r>
      <w:r w:rsidRPr="00A40EA9">
        <w:rPr>
          <w:rFonts w:ascii="Calibri" w:hAnsi="Calibri"/>
        </w:rPr>
        <w:t>-domeinen blijven eveneens van toepas</w:t>
      </w:r>
      <w:r w:rsidRPr="00A40EA9">
        <w:rPr>
          <w:rFonts w:ascii="Calibri" w:hAnsi="Calibri"/>
        </w:rPr>
        <w:softHyphen/>
        <w:t>sing.</w:t>
      </w:r>
    </w:p>
    <w:p w:rsidR="00683684" w:rsidRPr="000D15DA" w:rsidRDefault="00331BC3" w:rsidP="000D15DA">
      <w:pPr>
        <w:pStyle w:val="Kop2"/>
      </w:pPr>
      <w:bookmarkStart w:id="9" w:name="_Toc161406696"/>
      <w:r>
        <w:t>Overzicht</w:t>
      </w:r>
      <w:r w:rsidR="00683684" w:rsidRPr="000D15DA">
        <w:t xml:space="preserve"> samenhang BAG en GBA</w:t>
      </w:r>
      <w:bookmarkEnd w:id="9"/>
    </w:p>
    <w:p w:rsidR="00683684" w:rsidRDefault="00683684" w:rsidP="00683684">
      <w:pPr>
        <w:jc w:val="both"/>
      </w:pPr>
      <w:r>
        <w:t xml:space="preserve">Er is sprake van </w:t>
      </w:r>
      <w:r w:rsidR="00426E65">
        <w:t>interacties</w:t>
      </w:r>
      <w:r>
        <w:t xml:space="preserve"> tussen de BAG en de GBA bij de aangifte van een eerste inschrijving of een verhuizing. Bij de</w:t>
      </w:r>
      <w:r w:rsidR="006C38D3">
        <w:t>ze</w:t>
      </w:r>
      <w:r>
        <w:t xml:space="preserve"> aangifte wordt het opge</w:t>
      </w:r>
      <w:r>
        <w:softHyphen/>
        <w:t>geven adres ter verificatie uit de BAG opge</w:t>
      </w:r>
      <w:r>
        <w:softHyphen/>
        <w:t>vraagd</w:t>
      </w:r>
      <w:r w:rsidR="00CD769B">
        <w:t xml:space="preserve"> en worden de adresgegevens uit de BAG overgenomen</w:t>
      </w:r>
      <w:r>
        <w:t xml:space="preserve">. Bij twijfel over de juistheid </w:t>
      </w:r>
      <w:r w:rsidR="008F29F9">
        <w:t xml:space="preserve">van het daarbij geïdentificeerde BAG-object </w:t>
      </w:r>
      <w:r w:rsidR="00EB5759">
        <w:t xml:space="preserve">of de gegevens daarvan, </w:t>
      </w:r>
      <w:r>
        <w:t>wordt een terug</w:t>
      </w:r>
      <w:r w:rsidR="00CD769B">
        <w:softHyphen/>
      </w:r>
      <w:r>
        <w:t>melding naar de BAG gedaan. Met het resultaat van die terugmelding wordt het inschrijven (</w:t>
      </w:r>
      <w:r w:rsidR="00CD769B">
        <w:t xml:space="preserve">zonodig </w:t>
      </w:r>
      <w:r>
        <w:t>later) definitief afgerond.</w:t>
      </w:r>
    </w:p>
    <w:p w:rsidR="00683684" w:rsidRDefault="00103C89" w:rsidP="00683684">
      <w:pPr>
        <w:jc w:val="both"/>
      </w:pPr>
      <w:r>
        <w:t>Van</w:t>
      </w:r>
      <w:r w:rsidR="00683684">
        <w:t xml:space="preserve">uit de BAG </w:t>
      </w:r>
      <w:r>
        <w:t xml:space="preserve">worden </w:t>
      </w:r>
      <w:r w:rsidR="00683684">
        <w:t xml:space="preserve">signalen naar de GBA gestuurd als er </w:t>
      </w:r>
      <w:r w:rsidR="00AC0676">
        <w:t>zich mutaties voordoen</w:t>
      </w:r>
      <w:r w:rsidR="00683684">
        <w:t xml:space="preserve"> </w:t>
      </w:r>
      <w:r w:rsidR="002261A5">
        <w:t>rond</w:t>
      </w:r>
      <w:r w:rsidR="00683684">
        <w:t xml:space="preserve"> verblijf</w:t>
      </w:r>
      <w:r w:rsidR="002261A5">
        <w:softHyphen/>
      </w:r>
      <w:r w:rsidR="00683684">
        <w:t>plaat</w:t>
      </w:r>
      <w:r w:rsidR="002261A5">
        <w:softHyphen/>
      </w:r>
      <w:r w:rsidR="00683684">
        <w:t>sen (panden met verblijfsobjecten, standplaatsen of ligplaatsen en de adres</w:t>
      </w:r>
      <w:r w:rsidR="00683684">
        <w:softHyphen/>
        <w:t>sen daarvan), zoge</w:t>
      </w:r>
      <w:r w:rsidR="002261A5">
        <w:softHyphen/>
      </w:r>
      <w:r w:rsidR="00683684">
        <w:t>naam</w:t>
      </w:r>
      <w:r w:rsidR="002261A5">
        <w:softHyphen/>
      </w:r>
      <w:r w:rsidR="00683684">
        <w:t>de ‘spontane meldingen’.</w:t>
      </w:r>
    </w:p>
    <w:p w:rsidR="00683684" w:rsidRDefault="00683684" w:rsidP="009818B4">
      <w:pPr>
        <w:keepNext/>
        <w:jc w:val="both"/>
      </w:pPr>
      <w:r>
        <w:lastRenderedPageBreak/>
        <w:t xml:space="preserve">Alle </w:t>
      </w:r>
      <w:r w:rsidR="00426E65">
        <w:t xml:space="preserve">interacties </w:t>
      </w:r>
      <w:r>
        <w:t xml:space="preserve">worden beschreven door de volgende </w:t>
      </w:r>
      <w:r w:rsidR="00CD769B">
        <w:t>processtappen</w:t>
      </w:r>
      <w:r>
        <w:t xml:space="preserve"> (figuur </w:t>
      </w:r>
      <w:r w:rsidR="00ED0CF0">
        <w:t>1</w:t>
      </w:r>
      <w:r>
        <w:t>):</w:t>
      </w:r>
    </w:p>
    <w:p w:rsidR="00683684" w:rsidRPr="007D78D3" w:rsidRDefault="00683684" w:rsidP="009818B4">
      <w:pPr>
        <w:pStyle w:val="Lijstalinea"/>
        <w:keepNext/>
        <w:numPr>
          <w:ilvl w:val="0"/>
          <w:numId w:val="28"/>
        </w:numPr>
        <w:jc w:val="both"/>
        <w:rPr>
          <w:sz w:val="22"/>
        </w:rPr>
      </w:pPr>
      <w:r w:rsidRPr="007D78D3">
        <w:rPr>
          <w:sz w:val="22"/>
        </w:rPr>
        <w:t>Inschrijven in de GBA.</w:t>
      </w:r>
    </w:p>
    <w:p w:rsidR="00683684" w:rsidRPr="007D78D3" w:rsidRDefault="00683684" w:rsidP="00683684">
      <w:pPr>
        <w:pStyle w:val="Lijstalinea"/>
        <w:numPr>
          <w:ilvl w:val="0"/>
          <w:numId w:val="28"/>
        </w:numPr>
        <w:jc w:val="both"/>
        <w:rPr>
          <w:sz w:val="22"/>
        </w:rPr>
      </w:pPr>
      <w:r w:rsidRPr="007D78D3">
        <w:rPr>
          <w:sz w:val="22"/>
        </w:rPr>
        <w:t>Verwerken terugmelding.</w:t>
      </w:r>
    </w:p>
    <w:p w:rsidR="00683684" w:rsidRPr="007D78D3" w:rsidRDefault="00683684" w:rsidP="00683684">
      <w:pPr>
        <w:pStyle w:val="Lijstalinea"/>
        <w:numPr>
          <w:ilvl w:val="0"/>
          <w:numId w:val="28"/>
        </w:numPr>
        <w:jc w:val="both"/>
        <w:rPr>
          <w:sz w:val="22"/>
        </w:rPr>
      </w:pPr>
      <w:r w:rsidRPr="007D78D3">
        <w:rPr>
          <w:sz w:val="22"/>
        </w:rPr>
        <w:t>Signalen uit de BAG verwerken (‘spontane meldingen’).</w:t>
      </w:r>
    </w:p>
    <w:p w:rsidR="00683684" w:rsidRPr="007D78D3" w:rsidRDefault="00683684" w:rsidP="00683684">
      <w:pPr>
        <w:pStyle w:val="Lijstalinea"/>
        <w:numPr>
          <w:ilvl w:val="0"/>
          <w:numId w:val="28"/>
        </w:numPr>
        <w:jc w:val="both"/>
        <w:rPr>
          <w:sz w:val="22"/>
        </w:rPr>
      </w:pPr>
      <w:r w:rsidRPr="007D78D3">
        <w:rPr>
          <w:sz w:val="22"/>
        </w:rPr>
        <w:t>Verstrekken adres.</w:t>
      </w:r>
    </w:p>
    <w:p w:rsidR="00683684" w:rsidRPr="007D78D3" w:rsidRDefault="00683684" w:rsidP="00683684">
      <w:pPr>
        <w:pStyle w:val="Lijstalinea"/>
        <w:numPr>
          <w:ilvl w:val="0"/>
          <w:numId w:val="28"/>
        </w:numPr>
        <w:jc w:val="both"/>
        <w:rPr>
          <w:sz w:val="22"/>
        </w:rPr>
      </w:pPr>
      <w:r w:rsidRPr="007D78D3">
        <w:rPr>
          <w:sz w:val="22"/>
        </w:rPr>
        <w:t>Behandelen terugmelding.</w:t>
      </w:r>
    </w:p>
    <w:p w:rsidR="00683684" w:rsidRPr="007D78D3" w:rsidRDefault="00683684" w:rsidP="00683684">
      <w:pPr>
        <w:pStyle w:val="Lijstalinea"/>
        <w:numPr>
          <w:ilvl w:val="0"/>
          <w:numId w:val="28"/>
        </w:numPr>
        <w:jc w:val="both"/>
        <w:rPr>
          <w:sz w:val="22"/>
        </w:rPr>
      </w:pPr>
      <w:r w:rsidRPr="007D78D3">
        <w:rPr>
          <w:sz w:val="22"/>
        </w:rPr>
        <w:t>Opvoeren mutaties in de BAG.</w:t>
      </w:r>
    </w:p>
    <w:p w:rsidR="00683684" w:rsidRDefault="00683684" w:rsidP="00683684">
      <w:pPr>
        <w:jc w:val="both"/>
      </w:pPr>
    </w:p>
    <w:p w:rsidR="00683684" w:rsidRDefault="00551CB4" w:rsidP="00683684">
      <w:pPr>
        <w:jc w:val="both"/>
      </w:pPr>
      <w:r>
        <w:rPr>
          <w:noProof/>
          <w:lang w:val="en-US" w:eastAsia="nl-NL"/>
        </w:rPr>
        <w:drawing>
          <wp:inline distT="0" distB="0" distL="0" distR="0">
            <wp:extent cx="5749290" cy="2204085"/>
            <wp:effectExtent l="25400" t="0" r="0" b="0"/>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749290" cy="2204085"/>
                    </a:xfrm>
                    <a:prstGeom prst="rect">
                      <a:avLst/>
                    </a:prstGeom>
                    <a:noFill/>
                    <a:ln w="9525">
                      <a:noFill/>
                      <a:miter lim="800000"/>
                      <a:headEnd/>
                      <a:tailEnd/>
                    </a:ln>
                  </pic:spPr>
                </pic:pic>
              </a:graphicData>
            </a:graphic>
          </wp:inline>
        </w:drawing>
      </w:r>
    </w:p>
    <w:p w:rsidR="00683684" w:rsidRPr="00384C3D" w:rsidRDefault="00683684" w:rsidP="00683684">
      <w:pPr>
        <w:jc w:val="both"/>
        <w:rPr>
          <w:b/>
        </w:rPr>
      </w:pPr>
      <w:r w:rsidRPr="00384C3D">
        <w:rPr>
          <w:b/>
        </w:rPr>
        <w:t xml:space="preserve">Figuur </w:t>
      </w:r>
      <w:r w:rsidR="00ED0CF0">
        <w:rPr>
          <w:b/>
        </w:rPr>
        <w:t>1</w:t>
      </w:r>
      <w:r w:rsidRPr="00384C3D">
        <w:rPr>
          <w:b/>
        </w:rPr>
        <w:t xml:space="preserve">, Overzicht </w:t>
      </w:r>
      <w:r w:rsidR="00331BC3">
        <w:rPr>
          <w:b/>
        </w:rPr>
        <w:t>processtappen</w:t>
      </w:r>
      <w:r w:rsidRPr="00384C3D">
        <w:rPr>
          <w:b/>
        </w:rPr>
        <w:t xml:space="preserve"> GBA en BAG</w:t>
      </w:r>
    </w:p>
    <w:p w:rsidR="00F438AD" w:rsidRDefault="00103C89" w:rsidP="00683684">
      <w:pPr>
        <w:jc w:val="both"/>
      </w:pPr>
      <w:r>
        <w:t>H</w:t>
      </w:r>
      <w:r w:rsidR="00683684">
        <w:t xml:space="preserve">et ‘Inschrijven in de GBA’ </w:t>
      </w:r>
      <w:r>
        <w:t xml:space="preserve">zal meestal </w:t>
      </w:r>
      <w:r w:rsidR="00683684">
        <w:t>zonder terugmelding voltooid worden. In de volgende para</w:t>
      </w:r>
      <w:r w:rsidR="00683684">
        <w:softHyphen/>
        <w:t>gra</w:t>
      </w:r>
      <w:r w:rsidR="00683684">
        <w:softHyphen/>
        <w:t xml:space="preserve">fen worden de </w:t>
      </w:r>
      <w:r w:rsidR="00E53B4E">
        <w:t>processtappen</w:t>
      </w:r>
      <w:r w:rsidR="00683684">
        <w:t xml:space="preserve"> uit figuur </w:t>
      </w:r>
      <w:r w:rsidR="00ED0CF0">
        <w:t>1</w:t>
      </w:r>
      <w:r w:rsidR="00683684">
        <w:t xml:space="preserve"> verder uitgewerkt.</w:t>
      </w:r>
    </w:p>
    <w:p w:rsidR="00683684" w:rsidRDefault="00683684" w:rsidP="00683684">
      <w:pPr>
        <w:jc w:val="both"/>
      </w:pPr>
    </w:p>
    <w:p w:rsidR="00683684" w:rsidRPr="000D15DA" w:rsidRDefault="005A1B69" w:rsidP="000D15DA">
      <w:pPr>
        <w:pStyle w:val="Kop2"/>
      </w:pPr>
      <w:bookmarkStart w:id="10" w:name="_Toc161406697"/>
      <w:r>
        <w:t>Processtappen</w:t>
      </w:r>
      <w:r w:rsidR="00683684" w:rsidRPr="000D15DA">
        <w:t xml:space="preserve"> ‘Inschrijven in de GBA’ en ‘Verstrekken adres’</w:t>
      </w:r>
      <w:bookmarkEnd w:id="10"/>
    </w:p>
    <w:p w:rsidR="004A3D1D" w:rsidRDefault="00D64709" w:rsidP="00683684">
      <w:pPr>
        <w:jc w:val="both"/>
      </w:pPr>
      <w:r>
        <w:t xml:space="preserve">De aangifte begint met een intake bij Klantcontact, waar de gegevens </w:t>
      </w:r>
      <w:r w:rsidR="00B62707">
        <w:t xml:space="preserve">zo goed mogelijk gecontroleerd worden. Bij de behandeling van de aangifte kan het nodig zijn aanvullende gegevens te vragen of te toetsen. Tenslotte wordt de aangifte bevestigd. Zie de activiteiten in figuur 2: </w:t>
      </w:r>
    </w:p>
    <w:p w:rsidR="00B62707" w:rsidRDefault="00B62707" w:rsidP="00EE730C">
      <w:pPr>
        <w:pStyle w:val="Lijstalinea"/>
        <w:numPr>
          <w:ilvl w:val="0"/>
          <w:numId w:val="30"/>
        </w:numPr>
        <w:jc w:val="both"/>
        <w:rPr>
          <w:sz w:val="22"/>
        </w:rPr>
      </w:pPr>
      <w:r w:rsidRPr="00F267E3">
        <w:rPr>
          <w:sz w:val="22"/>
        </w:rPr>
        <w:t>Intake aangifte</w:t>
      </w:r>
      <w:r w:rsidRPr="008E7869">
        <w:rPr>
          <w:rStyle w:val="Voetnootmarkering"/>
          <w:sz w:val="22"/>
          <w:szCs w:val="22"/>
        </w:rPr>
        <w:footnoteReference w:id="6"/>
      </w:r>
      <w:r>
        <w:rPr>
          <w:sz w:val="22"/>
        </w:rPr>
        <w:t>.</w:t>
      </w:r>
    </w:p>
    <w:p w:rsidR="00B62707" w:rsidRDefault="00B62707" w:rsidP="00EE730C">
      <w:pPr>
        <w:pStyle w:val="Lijstalinea"/>
        <w:numPr>
          <w:ilvl w:val="0"/>
          <w:numId w:val="30"/>
        </w:numPr>
        <w:jc w:val="both"/>
        <w:rPr>
          <w:sz w:val="22"/>
        </w:rPr>
      </w:pPr>
      <w:r>
        <w:rPr>
          <w:sz w:val="22"/>
        </w:rPr>
        <w:t>Toetsen bij burger.</w:t>
      </w:r>
    </w:p>
    <w:p w:rsidR="00B62707" w:rsidRPr="00F267E3" w:rsidRDefault="00B62707" w:rsidP="00EE730C">
      <w:pPr>
        <w:pStyle w:val="Lijstalinea"/>
        <w:numPr>
          <w:ilvl w:val="0"/>
          <w:numId w:val="30"/>
        </w:numPr>
        <w:jc w:val="both"/>
        <w:rPr>
          <w:sz w:val="22"/>
        </w:rPr>
      </w:pPr>
      <w:r>
        <w:rPr>
          <w:sz w:val="22"/>
        </w:rPr>
        <w:t>Bevestigen aangifte.</w:t>
      </w:r>
    </w:p>
    <w:p w:rsidR="004A3D1D" w:rsidRDefault="004A3D1D" w:rsidP="00683684">
      <w:pPr>
        <w:jc w:val="both"/>
      </w:pPr>
    </w:p>
    <w:p w:rsidR="006E1B72" w:rsidRDefault="00683684" w:rsidP="00683684">
      <w:pPr>
        <w:jc w:val="both"/>
      </w:pPr>
      <w:r>
        <w:t>In het processchema worden Klantcontact</w:t>
      </w:r>
      <w:r w:rsidR="006E1B72">
        <w:t xml:space="preserve">, Zaakcoördinator en </w:t>
      </w:r>
      <w:r>
        <w:t>Specialist</w:t>
      </w:r>
      <w:r w:rsidR="006E1B72">
        <w:t>en</w:t>
      </w:r>
      <w:r>
        <w:t xml:space="preserve"> onderscheiden, maar </w:t>
      </w:r>
      <w:r w:rsidR="006E1B72">
        <w:t>bij de rol van</w:t>
      </w:r>
      <w:r>
        <w:t xml:space="preserve"> Zaakcoördinator </w:t>
      </w:r>
      <w:r w:rsidR="006E1B72">
        <w:t>moet vooral gedacht worden aan functies van de informatiesyste</w:t>
      </w:r>
      <w:r w:rsidR="006E1B72">
        <w:softHyphen/>
        <w:t xml:space="preserve">men die de </w:t>
      </w:r>
      <w:r w:rsidR="00CA41E6">
        <w:t>mid</w:t>
      </w:r>
      <w:r w:rsidR="006E1B72">
        <w:t>office ondersteunen</w:t>
      </w:r>
      <w:r>
        <w:t>.</w:t>
      </w:r>
      <w:r w:rsidR="006E1B72">
        <w:t xml:space="preserve"> De burger, die in persoon aangifte doet, heeft </w:t>
      </w:r>
      <w:r w:rsidR="00AD13BC">
        <w:t xml:space="preserve">meestal </w:t>
      </w:r>
      <w:r w:rsidR="006E1B72">
        <w:t>slechts met één ambte</w:t>
      </w:r>
      <w:r w:rsidR="00B62707">
        <w:softHyphen/>
      </w:r>
      <w:r w:rsidR="006E1B72">
        <w:t>naar te maken, die de verschillende rollen op transparante wijze combineert.</w:t>
      </w:r>
    </w:p>
    <w:p w:rsidR="00683684" w:rsidRDefault="00B6067C" w:rsidP="00683684">
      <w:pPr>
        <w:jc w:val="both"/>
      </w:pPr>
      <w:r>
        <w:rPr>
          <w:noProof/>
          <w:lang w:val="en-US" w:eastAsia="nl-NL"/>
        </w:rPr>
        <w:lastRenderedPageBreak/>
        <w:drawing>
          <wp:inline distT="0" distB="0" distL="0" distR="0">
            <wp:extent cx="5756275" cy="3900805"/>
            <wp:effectExtent l="25400" t="0" r="9525" b="0"/>
            <wp:docPr id="1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756275" cy="3900805"/>
                    </a:xfrm>
                    <a:prstGeom prst="rect">
                      <a:avLst/>
                    </a:prstGeom>
                    <a:noFill/>
                    <a:ln w="9525">
                      <a:noFill/>
                      <a:miter lim="800000"/>
                      <a:headEnd/>
                      <a:tailEnd/>
                    </a:ln>
                  </pic:spPr>
                </pic:pic>
              </a:graphicData>
            </a:graphic>
          </wp:inline>
        </w:drawing>
      </w:r>
    </w:p>
    <w:p w:rsidR="0008578E" w:rsidRDefault="00683684" w:rsidP="00683684">
      <w:pPr>
        <w:jc w:val="both"/>
        <w:rPr>
          <w:b/>
        </w:rPr>
      </w:pPr>
      <w:r w:rsidRPr="00384C3D">
        <w:rPr>
          <w:b/>
        </w:rPr>
        <w:t xml:space="preserve">Figuur </w:t>
      </w:r>
      <w:r w:rsidR="00ED0CF0">
        <w:rPr>
          <w:b/>
        </w:rPr>
        <w:t>2</w:t>
      </w:r>
      <w:r w:rsidRPr="00384C3D">
        <w:rPr>
          <w:b/>
        </w:rPr>
        <w:t>, De proces</w:t>
      </w:r>
      <w:r w:rsidR="005A1B69">
        <w:rPr>
          <w:b/>
        </w:rPr>
        <w:t>stappen</w:t>
      </w:r>
      <w:r w:rsidRPr="00384C3D">
        <w:rPr>
          <w:b/>
        </w:rPr>
        <w:t xml:space="preserve"> Inschrijven in de GBA en Verstrekken adres</w:t>
      </w:r>
    </w:p>
    <w:p w:rsidR="0008578E" w:rsidRDefault="0008578E" w:rsidP="00683684">
      <w:pPr>
        <w:jc w:val="both"/>
      </w:pPr>
      <w:r>
        <w:t>De Zaakcoördinator registreert de aangifte en wijst de behandeling toe aan een GBA Specialist. De voortgang en de behandelingstermijnen worden bewaakt en uiteindelijk wordt de zaak afgerond en gearchiveerd:</w:t>
      </w:r>
    </w:p>
    <w:p w:rsidR="005835C0" w:rsidRPr="005835C0" w:rsidRDefault="0008578E" w:rsidP="00EE730C">
      <w:pPr>
        <w:pStyle w:val="Lijstalinea"/>
        <w:numPr>
          <w:ilvl w:val="0"/>
          <w:numId w:val="30"/>
        </w:numPr>
        <w:jc w:val="both"/>
        <w:rPr>
          <w:sz w:val="22"/>
        </w:rPr>
      </w:pPr>
      <w:r w:rsidRPr="005835C0">
        <w:rPr>
          <w:sz w:val="22"/>
        </w:rPr>
        <w:t>Registreren aangifte als zaak</w:t>
      </w:r>
      <w:r w:rsidR="005835C0" w:rsidRPr="005835C0">
        <w:rPr>
          <w:sz w:val="22"/>
        </w:rPr>
        <w:t>.</w:t>
      </w:r>
    </w:p>
    <w:p w:rsidR="005835C0" w:rsidRPr="005835C0" w:rsidRDefault="005835C0" w:rsidP="00EE730C">
      <w:pPr>
        <w:pStyle w:val="Lijstalinea"/>
        <w:numPr>
          <w:ilvl w:val="0"/>
          <w:numId w:val="30"/>
        </w:numPr>
        <w:jc w:val="both"/>
        <w:rPr>
          <w:sz w:val="22"/>
        </w:rPr>
      </w:pPr>
      <w:r w:rsidRPr="005835C0">
        <w:rPr>
          <w:sz w:val="22"/>
        </w:rPr>
        <w:t>Toewijzen behandeling aangifte.</w:t>
      </w:r>
    </w:p>
    <w:p w:rsidR="005835C0" w:rsidRDefault="005835C0" w:rsidP="00EE730C">
      <w:pPr>
        <w:pStyle w:val="Lijstalinea"/>
        <w:numPr>
          <w:ilvl w:val="0"/>
          <w:numId w:val="30"/>
        </w:numPr>
        <w:jc w:val="both"/>
        <w:rPr>
          <w:sz w:val="22"/>
        </w:rPr>
      </w:pPr>
      <w:r>
        <w:rPr>
          <w:sz w:val="22"/>
        </w:rPr>
        <w:t>Bewaken</w:t>
      </w:r>
      <w:r w:rsidRPr="005835C0">
        <w:rPr>
          <w:sz w:val="22"/>
        </w:rPr>
        <w:t xml:space="preserve"> behandeling aangifte.</w:t>
      </w:r>
    </w:p>
    <w:p w:rsidR="005835C0" w:rsidRPr="005835C0" w:rsidRDefault="005835C0" w:rsidP="00EE730C">
      <w:pPr>
        <w:pStyle w:val="Lijstalinea"/>
        <w:numPr>
          <w:ilvl w:val="0"/>
          <w:numId w:val="30"/>
        </w:numPr>
        <w:jc w:val="both"/>
        <w:rPr>
          <w:sz w:val="22"/>
        </w:rPr>
      </w:pPr>
      <w:r>
        <w:rPr>
          <w:sz w:val="22"/>
        </w:rPr>
        <w:t>Afronden en archiveren zaak.</w:t>
      </w:r>
    </w:p>
    <w:p w:rsidR="00B07CB9" w:rsidRDefault="00B07CB9" w:rsidP="005835C0">
      <w:pPr>
        <w:jc w:val="both"/>
      </w:pPr>
    </w:p>
    <w:p w:rsidR="00B07CB9" w:rsidRDefault="00B07CB9" w:rsidP="005835C0">
      <w:pPr>
        <w:jc w:val="both"/>
      </w:pPr>
      <w:r>
        <w:t>Als het nodig is tijdens de behandeling van de aangifte een terugmelding te doen, die niet binnen rede</w:t>
      </w:r>
      <w:r>
        <w:softHyphen/>
        <w:t>lijke termijn kan worden afgewikkeld, lopen de activiteiten van de Zaakcoördinator door tot deze terugmelding behandeld is en de aangifte definitief is afgewikkeld.</w:t>
      </w:r>
    </w:p>
    <w:p w:rsidR="005835C0" w:rsidRDefault="00B07CB9" w:rsidP="005835C0">
      <w:pPr>
        <w:jc w:val="both"/>
      </w:pPr>
      <w:r>
        <w:t xml:space="preserve">De </w:t>
      </w:r>
      <w:r w:rsidR="001C5FB0">
        <w:t xml:space="preserve">GBA Specialist </w:t>
      </w:r>
      <w:r w:rsidR="007B5B10">
        <w:t>verifi</w:t>
      </w:r>
      <w:r w:rsidR="009E34A5">
        <w:t>e</w:t>
      </w:r>
      <w:r w:rsidR="007B5B10">
        <w:t>ert</w:t>
      </w:r>
      <w:r w:rsidR="001C5FB0">
        <w:t xml:space="preserve"> of het door de </w:t>
      </w:r>
      <w:r>
        <w:t xml:space="preserve">burger </w:t>
      </w:r>
      <w:r w:rsidR="001C5FB0">
        <w:t>opgegeven adres overeenstemt met een ver</w:t>
      </w:r>
      <w:r w:rsidR="001C5FB0">
        <w:softHyphen/>
        <w:t>blijf</w:t>
      </w:r>
      <w:r w:rsidR="001C5FB0">
        <w:softHyphen/>
        <w:t>plaats die als adresseerbaar object in de BAG bekend is en die voor bewoning geschikt is. Als dit het geval is wordt de aangifte voltooid door inschrijving op het aan de BAG ontleende adres:</w:t>
      </w:r>
    </w:p>
    <w:p w:rsidR="00A2163E" w:rsidRPr="00F267E3" w:rsidRDefault="00A2163E" w:rsidP="00EE730C">
      <w:pPr>
        <w:pStyle w:val="Lijstalinea"/>
        <w:numPr>
          <w:ilvl w:val="0"/>
          <w:numId w:val="30"/>
        </w:numPr>
        <w:jc w:val="both"/>
        <w:rPr>
          <w:sz w:val="22"/>
        </w:rPr>
      </w:pPr>
      <w:r w:rsidRPr="00F267E3">
        <w:rPr>
          <w:sz w:val="22"/>
        </w:rPr>
        <w:t>Verifiëren adres in BAG.</w:t>
      </w:r>
    </w:p>
    <w:p w:rsidR="00A2163E" w:rsidRPr="00F267E3" w:rsidRDefault="00A2163E" w:rsidP="00EE730C">
      <w:pPr>
        <w:pStyle w:val="Lijstalinea"/>
        <w:numPr>
          <w:ilvl w:val="0"/>
          <w:numId w:val="30"/>
        </w:numPr>
        <w:jc w:val="both"/>
        <w:rPr>
          <w:sz w:val="22"/>
        </w:rPr>
      </w:pPr>
      <w:r w:rsidRPr="00F267E3">
        <w:rPr>
          <w:sz w:val="22"/>
        </w:rPr>
        <w:t xml:space="preserve">Inschrijven op </w:t>
      </w:r>
      <w:r w:rsidR="00B07CB9">
        <w:rPr>
          <w:sz w:val="22"/>
        </w:rPr>
        <w:t xml:space="preserve">aan BAG ontleend </w:t>
      </w:r>
      <w:r w:rsidRPr="00F267E3">
        <w:rPr>
          <w:sz w:val="22"/>
        </w:rPr>
        <w:t>adres.</w:t>
      </w:r>
    </w:p>
    <w:p w:rsidR="00A2163E" w:rsidRDefault="00A2163E" w:rsidP="00A2163E">
      <w:pPr>
        <w:keepLines/>
        <w:jc w:val="both"/>
      </w:pPr>
    </w:p>
    <w:p w:rsidR="00A2163E" w:rsidRDefault="00A2163E" w:rsidP="00A2163E">
      <w:pPr>
        <w:jc w:val="both"/>
      </w:pPr>
      <w:r>
        <w:t xml:space="preserve">Voor de controle van het adres wordt de ondersteunende </w:t>
      </w:r>
      <w:r w:rsidR="001F149F">
        <w:t xml:space="preserve">(BAG-) </w:t>
      </w:r>
      <w:r>
        <w:t>processtap</w:t>
      </w:r>
      <w:r w:rsidRPr="00A421BB">
        <w:t xml:space="preserve"> </w:t>
      </w:r>
      <w:r>
        <w:t>aangeroepen:</w:t>
      </w:r>
    </w:p>
    <w:p w:rsidR="00A2163E" w:rsidRPr="00F267E3" w:rsidRDefault="00A2163E" w:rsidP="00EE730C">
      <w:pPr>
        <w:pStyle w:val="Lijstalinea"/>
        <w:numPr>
          <w:ilvl w:val="0"/>
          <w:numId w:val="30"/>
        </w:numPr>
        <w:jc w:val="both"/>
        <w:rPr>
          <w:sz w:val="22"/>
        </w:rPr>
      </w:pPr>
      <w:r w:rsidRPr="00F267E3">
        <w:rPr>
          <w:sz w:val="22"/>
        </w:rPr>
        <w:t>Verstrekken adres.</w:t>
      </w:r>
    </w:p>
    <w:p w:rsidR="00A2163E" w:rsidRDefault="00A2163E" w:rsidP="00A2163E">
      <w:pPr>
        <w:jc w:val="both"/>
      </w:pPr>
    </w:p>
    <w:p w:rsidR="00683684" w:rsidRDefault="005A2884" w:rsidP="00683684">
      <w:pPr>
        <w:jc w:val="both"/>
      </w:pPr>
      <w:r>
        <w:t>Het ‘</w:t>
      </w:r>
      <w:r w:rsidRPr="00F267E3">
        <w:t>Verstrekken adres</w:t>
      </w:r>
      <w:r>
        <w:t>’</w:t>
      </w:r>
      <w:r w:rsidR="001C5FB0">
        <w:t xml:space="preserve"> wordt (formeel) als een activiteit voor de BAG Specialist weergegeven, maar h</w:t>
      </w:r>
      <w:r w:rsidR="00683684">
        <w:t xml:space="preserve">et opvragen van adresgegevens uit de BAG kan geheel geautomatiseerd verlopen </w:t>
      </w:r>
      <w:r w:rsidR="002D490F">
        <w:t>via</w:t>
      </w:r>
      <w:r w:rsidR="00683684">
        <w:t xml:space="preserve"> een vraag</w:t>
      </w:r>
      <w:r>
        <w:softHyphen/>
      </w:r>
      <w:r w:rsidR="00683684">
        <w:t>bericht van de GBA-applicatie en een antwoordb</w:t>
      </w:r>
      <w:r w:rsidR="001C5FB0">
        <w:t>ericht uit de BAG-appli</w:t>
      </w:r>
      <w:r w:rsidR="001C5FB0">
        <w:softHyphen/>
        <w:t>ca</w:t>
      </w:r>
      <w:r w:rsidR="001C5FB0">
        <w:softHyphen/>
        <w:t>tie.</w:t>
      </w:r>
      <w:r w:rsidR="001F149F">
        <w:t xml:space="preserve"> Ook is het mogelijk </w:t>
      </w:r>
      <w:r w:rsidR="00BB2AE1">
        <w:t>een up-to-date kopie van alle adresseerbare objecten van de BAG te raadplegen</w:t>
      </w:r>
      <w:r w:rsidR="00752C06">
        <w:t>,</w:t>
      </w:r>
      <w:r w:rsidR="00BB2AE1">
        <w:t xml:space="preserve"> die </w:t>
      </w:r>
      <w:r w:rsidR="001F149F">
        <w:t>in het GBA-domein of de GBA-appli</w:t>
      </w:r>
      <w:r w:rsidR="00752C06">
        <w:softHyphen/>
      </w:r>
      <w:r w:rsidR="001F149F">
        <w:t>ca</w:t>
      </w:r>
      <w:r w:rsidR="00752C06">
        <w:softHyphen/>
      </w:r>
      <w:r w:rsidR="001F149F">
        <w:t>tie</w:t>
      </w:r>
      <w:r w:rsidR="00BB2AE1">
        <w:t xml:space="preserve"> beschikbaar is</w:t>
      </w:r>
      <w:r w:rsidR="001F149F">
        <w:t>. Het is aan de gemeente om te bepalen welke werkwijze voldoen</w:t>
      </w:r>
      <w:r>
        <w:softHyphen/>
      </w:r>
      <w:r w:rsidR="001F149F">
        <w:t>de kwaliteit biedt. Even</w:t>
      </w:r>
      <w:r w:rsidR="001F149F">
        <w:softHyphen/>
        <w:t>tueel kan</w:t>
      </w:r>
      <w:r w:rsidR="00683684">
        <w:t xml:space="preserve"> het adres ook handmatig worden opgevraagd via een webinterface</w:t>
      </w:r>
      <w:r w:rsidR="001F149F">
        <w:t xml:space="preserve"> van de lokale BAG of de BAGLV</w:t>
      </w:r>
      <w:r w:rsidR="007A2A29">
        <w:t xml:space="preserve"> (Landelijke Voorziening BAG)</w:t>
      </w:r>
      <w:r w:rsidR="00683684">
        <w:t xml:space="preserve">. </w:t>
      </w:r>
    </w:p>
    <w:p w:rsidR="00683684" w:rsidRDefault="00683684" w:rsidP="00683684">
      <w:pPr>
        <w:jc w:val="both"/>
      </w:pPr>
      <w:r>
        <w:t xml:space="preserve">Als er geen overeenstemming is tussen het bij de aangifte opgegeven adres en </w:t>
      </w:r>
      <w:r w:rsidR="00263B29">
        <w:t>dat van een adres</w:t>
      </w:r>
      <w:r w:rsidR="00263B29">
        <w:softHyphen/>
        <w:t>seer</w:t>
      </w:r>
      <w:r w:rsidR="00263B29">
        <w:softHyphen/>
        <w:t>baar object</w:t>
      </w:r>
      <w:r>
        <w:t xml:space="preserve"> in de BAG</w:t>
      </w:r>
      <w:r w:rsidR="00BD4525">
        <w:t xml:space="preserve"> (dat </w:t>
      </w:r>
      <w:r w:rsidR="00413BD6">
        <w:t xml:space="preserve">bovendien </w:t>
      </w:r>
      <w:r w:rsidR="00BD4525">
        <w:t xml:space="preserve">voor bewoning geschikt </w:t>
      </w:r>
      <w:r w:rsidR="00413BD6">
        <w:t>moet zijn</w:t>
      </w:r>
      <w:r w:rsidR="00BD4525">
        <w:t>)</w:t>
      </w:r>
      <w:r>
        <w:t>, moet gecontroleerd worden of de aangif</w:t>
      </w:r>
      <w:r w:rsidR="00BD4525">
        <w:softHyphen/>
      </w:r>
      <w:r>
        <w:t>te wel juist is:</w:t>
      </w:r>
    </w:p>
    <w:p w:rsidR="00683684" w:rsidRPr="00F267E3" w:rsidRDefault="00BB2AE1" w:rsidP="00683684">
      <w:pPr>
        <w:pStyle w:val="Lijstalinea"/>
        <w:numPr>
          <w:ilvl w:val="0"/>
          <w:numId w:val="30"/>
        </w:numPr>
        <w:jc w:val="both"/>
        <w:rPr>
          <w:sz w:val="22"/>
        </w:rPr>
      </w:pPr>
      <w:r>
        <w:rPr>
          <w:sz w:val="22"/>
        </w:rPr>
        <w:t>Toetsen</w:t>
      </w:r>
      <w:r w:rsidR="00683684" w:rsidRPr="00F267E3">
        <w:rPr>
          <w:sz w:val="22"/>
        </w:rPr>
        <w:t xml:space="preserve"> bij burger.</w:t>
      </w:r>
    </w:p>
    <w:p w:rsidR="00683684" w:rsidRDefault="00683684" w:rsidP="00683684">
      <w:pPr>
        <w:jc w:val="both"/>
      </w:pPr>
    </w:p>
    <w:p w:rsidR="00263B29" w:rsidRDefault="00C71D01" w:rsidP="00683684">
      <w:pPr>
        <w:jc w:val="both"/>
      </w:pPr>
      <w:r>
        <w:t>Indien de juiste verblijfplaats alsnog geïdentificeerd kan worden</w:t>
      </w:r>
      <w:r w:rsidR="00683684">
        <w:t xml:space="preserve">, </w:t>
      </w:r>
      <w:r w:rsidR="00D95B54">
        <w:t>wordt</w:t>
      </w:r>
      <w:r w:rsidR="00683684">
        <w:t xml:space="preserve"> de inschrijving voltooid </w:t>
      </w:r>
      <w:r>
        <w:t xml:space="preserve">met </w:t>
      </w:r>
      <w:r w:rsidR="007A7BBB">
        <w:t>het</w:t>
      </w:r>
      <w:r>
        <w:t xml:space="preserve"> aan de </w:t>
      </w:r>
      <w:r w:rsidR="007A7BBB">
        <w:t>BAG ontleende adres</w:t>
      </w:r>
      <w:r w:rsidR="00683684">
        <w:t xml:space="preserve">. </w:t>
      </w:r>
    </w:p>
    <w:p w:rsidR="00683684" w:rsidRDefault="00171FC4" w:rsidP="00683684">
      <w:pPr>
        <w:jc w:val="both"/>
      </w:pPr>
      <w:r>
        <w:t xml:space="preserve">Blijft er twijfel bestaan </w:t>
      </w:r>
      <w:r w:rsidR="009573F4">
        <w:t>over het identificeren van de verblijfplaats</w:t>
      </w:r>
      <w:r w:rsidR="00154D90">
        <w:t xml:space="preserve"> of de (woon-) status van het adres</w:t>
      </w:r>
      <w:r w:rsidR="00154D90">
        <w:softHyphen/>
        <w:t>seer</w:t>
      </w:r>
      <w:r w:rsidR="00154D90">
        <w:softHyphen/>
        <w:t xml:space="preserve">bare object, ook al kan de burger zijn bewoning </w:t>
      </w:r>
      <w:r w:rsidR="00683684">
        <w:t>aan</w:t>
      </w:r>
      <w:r w:rsidR="00683684">
        <w:softHyphen/>
        <w:t>nemelijk maken of onder</w:t>
      </w:r>
      <w:r w:rsidR="00683684">
        <w:softHyphen/>
        <w:t>bou</w:t>
      </w:r>
      <w:r w:rsidR="00683684">
        <w:softHyphen/>
        <w:t>wen aan de hand van bewijsstukken (zoals een huurover</w:t>
      </w:r>
      <w:r w:rsidR="00683684">
        <w:softHyphen/>
        <w:t>een</w:t>
      </w:r>
      <w:r w:rsidR="00683684">
        <w:softHyphen/>
        <w:t xml:space="preserve">komst of koopakte), dan </w:t>
      </w:r>
      <w:r w:rsidR="00154D90">
        <w:t>wordt</w:t>
      </w:r>
      <w:r w:rsidR="00683684">
        <w:t xml:space="preserve"> hij </w:t>
      </w:r>
      <w:r w:rsidR="00154D90">
        <w:t xml:space="preserve">ingeschreven </w:t>
      </w:r>
      <w:r w:rsidR="00683684">
        <w:t xml:space="preserve">op </w:t>
      </w:r>
      <w:r w:rsidR="00154D90">
        <w:t>basis van de beschikbare gegevens</w:t>
      </w:r>
      <w:r w:rsidR="00683684">
        <w:t>. Het adres wordt vervolgens in de GBA ‘in on</w:t>
      </w:r>
      <w:r w:rsidR="00683684">
        <w:softHyphen/>
        <w:t>der</w:t>
      </w:r>
      <w:r w:rsidR="00683684">
        <w:softHyphen/>
      </w:r>
      <w:r w:rsidR="00683684">
        <w:softHyphen/>
        <w:t>zoek’ ge</w:t>
      </w:r>
      <w:r w:rsidR="00683684">
        <w:softHyphen/>
        <w:t>plaatst en er wordt een terugmelding naar de BAG gedaan</w:t>
      </w:r>
      <w:r w:rsidR="00683684" w:rsidRPr="00614D78">
        <w:t xml:space="preserve"> </w:t>
      </w:r>
      <w:r w:rsidR="00683684">
        <w:t>(in principe naar de eigen gemeentelijke BAG, maar dit zou eventueel ook als Digimelding via de BAGLV</w:t>
      </w:r>
      <w:r w:rsidR="00683684">
        <w:rPr>
          <w:rStyle w:val="Voetnootmarkering"/>
        </w:rPr>
        <w:footnoteReference w:id="7"/>
      </w:r>
      <w:r w:rsidR="00683684">
        <w:t xml:space="preserve"> mogen lopen):</w:t>
      </w:r>
    </w:p>
    <w:p w:rsidR="00683684" w:rsidRPr="00F267E3" w:rsidRDefault="00683684" w:rsidP="00683684">
      <w:pPr>
        <w:pStyle w:val="Lijstalinea"/>
        <w:numPr>
          <w:ilvl w:val="0"/>
          <w:numId w:val="30"/>
        </w:numPr>
        <w:jc w:val="both"/>
        <w:rPr>
          <w:sz w:val="22"/>
        </w:rPr>
      </w:pPr>
      <w:r w:rsidRPr="00F267E3">
        <w:rPr>
          <w:sz w:val="22"/>
        </w:rPr>
        <w:t xml:space="preserve">Inschrijven op </w:t>
      </w:r>
      <w:r w:rsidR="004211E4">
        <w:rPr>
          <w:sz w:val="22"/>
        </w:rPr>
        <w:t xml:space="preserve">aangegeven </w:t>
      </w:r>
      <w:r w:rsidRPr="00F267E3">
        <w:rPr>
          <w:sz w:val="22"/>
        </w:rPr>
        <w:t>adres.</w:t>
      </w:r>
    </w:p>
    <w:p w:rsidR="00683684" w:rsidRPr="00F267E3" w:rsidRDefault="00683684" w:rsidP="00683684">
      <w:pPr>
        <w:pStyle w:val="Lijstalinea"/>
        <w:numPr>
          <w:ilvl w:val="0"/>
          <w:numId w:val="30"/>
        </w:numPr>
        <w:jc w:val="both"/>
        <w:rPr>
          <w:sz w:val="22"/>
        </w:rPr>
      </w:pPr>
      <w:r w:rsidRPr="00F267E3">
        <w:rPr>
          <w:sz w:val="22"/>
        </w:rPr>
        <w:t>Adres ‘in onderzoek’ plaatsen.</w:t>
      </w:r>
    </w:p>
    <w:p w:rsidR="00683684" w:rsidRPr="00F267E3" w:rsidRDefault="00683684" w:rsidP="00683684">
      <w:pPr>
        <w:pStyle w:val="Lijstalinea"/>
        <w:numPr>
          <w:ilvl w:val="0"/>
          <w:numId w:val="30"/>
        </w:numPr>
        <w:jc w:val="both"/>
        <w:rPr>
          <w:sz w:val="22"/>
        </w:rPr>
      </w:pPr>
      <w:r w:rsidRPr="00F267E3">
        <w:rPr>
          <w:sz w:val="22"/>
        </w:rPr>
        <w:t>Terugmelden bij de BAG.</w:t>
      </w:r>
    </w:p>
    <w:p w:rsidR="00683684" w:rsidRDefault="00683684" w:rsidP="00683684">
      <w:pPr>
        <w:jc w:val="both"/>
      </w:pPr>
    </w:p>
    <w:p w:rsidR="00683684" w:rsidRDefault="00683684" w:rsidP="00683684">
      <w:pPr>
        <w:jc w:val="both"/>
      </w:pPr>
      <w:r>
        <w:t xml:space="preserve">Zolang de terugmelding in behandeling is, worden </w:t>
      </w:r>
      <w:r w:rsidR="00F70541">
        <w:t>er op de persoonslijst in de GBA geen gegevens opgenomen die aan de BAG zijn ontleend (zoals de</w:t>
      </w:r>
      <w:r w:rsidR="005711ED">
        <w:t xml:space="preserve"> </w:t>
      </w:r>
      <w:r>
        <w:t>rubrie</w:t>
      </w:r>
      <w:r>
        <w:softHyphen/>
        <w:t>ken</w:t>
      </w:r>
      <w:r w:rsidRPr="0047353A">
        <w:t xml:space="preserve"> </w:t>
      </w:r>
      <w:r w:rsidR="00887B5E" w:rsidRPr="00236B54">
        <w:t>Naam openbare ruimte</w:t>
      </w:r>
      <w:r w:rsidR="005711ED">
        <w:t>,</w:t>
      </w:r>
      <w:r w:rsidR="00887B5E">
        <w:t xml:space="preserve"> </w:t>
      </w:r>
      <w:r w:rsidR="00887B5E" w:rsidRPr="00236B54">
        <w:t>Woon</w:t>
      </w:r>
      <w:r w:rsidR="00F70541">
        <w:softHyphen/>
      </w:r>
      <w:r w:rsidR="00887B5E" w:rsidRPr="00236B54">
        <w:t>plaats</w:t>
      </w:r>
      <w:r w:rsidR="00F70541">
        <w:softHyphen/>
      </w:r>
      <w:r w:rsidR="00887B5E" w:rsidRPr="00236B54">
        <w:t>naam</w:t>
      </w:r>
      <w:r w:rsidR="005711ED">
        <w:t>,</w:t>
      </w:r>
      <w:r w:rsidR="00887B5E">
        <w:t xml:space="preserve"> </w:t>
      </w:r>
      <w:r w:rsidR="00887B5E" w:rsidRPr="00236B54">
        <w:t>Identificatiecode verblijfplaats</w:t>
      </w:r>
      <w:r w:rsidR="005711ED">
        <w:t xml:space="preserve"> en</w:t>
      </w:r>
      <w:r w:rsidR="00887B5E">
        <w:t xml:space="preserve"> </w:t>
      </w:r>
      <w:r w:rsidR="00887B5E" w:rsidRPr="00236B54">
        <w:t>Identifica</w:t>
      </w:r>
      <w:r w:rsidR="00F70541">
        <w:softHyphen/>
      </w:r>
      <w:r w:rsidR="00887B5E" w:rsidRPr="00236B54">
        <w:t>tie</w:t>
      </w:r>
      <w:r w:rsidR="00F70541">
        <w:softHyphen/>
      </w:r>
      <w:r w:rsidR="00887B5E" w:rsidRPr="00236B54">
        <w:t>code nummeraan</w:t>
      </w:r>
      <w:r w:rsidR="00BC001E">
        <w:softHyphen/>
      </w:r>
      <w:r w:rsidR="00887B5E" w:rsidRPr="00236B54">
        <w:t>dui</w:t>
      </w:r>
      <w:r w:rsidR="00BC001E">
        <w:softHyphen/>
      </w:r>
      <w:r w:rsidR="00887B5E" w:rsidRPr="00236B54">
        <w:t>ding</w:t>
      </w:r>
      <w:r w:rsidR="005711ED">
        <w:t>)</w:t>
      </w:r>
      <w:r w:rsidR="00F70541">
        <w:t xml:space="preserve">. Daarmee is het </w:t>
      </w:r>
      <w:r>
        <w:t>zicht</w:t>
      </w:r>
      <w:r w:rsidR="004C2C41">
        <w:softHyphen/>
      </w:r>
      <w:r>
        <w:t xml:space="preserve">baar dat het </w:t>
      </w:r>
      <w:r w:rsidR="005711ED">
        <w:t xml:space="preserve">adres niet </w:t>
      </w:r>
      <w:r w:rsidR="00F70541">
        <w:t>met een adres in de</w:t>
      </w:r>
      <w:r w:rsidR="005711ED">
        <w:t xml:space="preserve"> BAG </w:t>
      </w:r>
      <w:r w:rsidR="00F70541">
        <w:t>correspondeert</w:t>
      </w:r>
      <w:r w:rsidR="005711ED">
        <w:t>.</w:t>
      </w:r>
      <w:r w:rsidR="00BC001E" w:rsidRPr="00BC001E">
        <w:t xml:space="preserve"> </w:t>
      </w:r>
      <w:r w:rsidR="00BC001E">
        <w:t>Met het resul</w:t>
      </w:r>
      <w:r w:rsidR="00BC001E">
        <w:softHyphen/>
        <w:t>taat van de terug</w:t>
      </w:r>
      <w:r w:rsidR="00BC001E">
        <w:softHyphen/>
        <w:t xml:space="preserve">melding vindt </w:t>
      </w:r>
      <w:r w:rsidR="00C4164A">
        <w:t xml:space="preserve">(later) </w:t>
      </w:r>
      <w:r w:rsidR="00BC001E">
        <w:t>zonodig correctie plaats.</w:t>
      </w:r>
    </w:p>
    <w:p w:rsidR="00BC001E" w:rsidRDefault="003D0A0F" w:rsidP="00683684">
      <w:pPr>
        <w:jc w:val="both"/>
      </w:pPr>
      <w:r w:rsidRPr="003D0A0F">
        <w:rPr>
          <w:u w:val="single"/>
        </w:rPr>
        <w:t>Opmerking</w:t>
      </w:r>
      <w:r w:rsidR="00BC001E">
        <w:rPr>
          <w:u w:val="single"/>
        </w:rPr>
        <w:t xml:space="preserve"> 1</w:t>
      </w:r>
      <w:r>
        <w:t>:</w:t>
      </w:r>
      <w:r w:rsidR="00683684">
        <w:t xml:space="preserve"> als onmiddellijk duidelijk is dat het inschrijvingsadres geen </w:t>
      </w:r>
      <w:r w:rsidR="004211E4">
        <w:t xml:space="preserve">adresseerbaar object in de BAG </w:t>
      </w:r>
      <w:r w:rsidR="00683684">
        <w:t xml:space="preserve">kan </w:t>
      </w:r>
      <w:r w:rsidR="00272EC5">
        <w:t>aanduiden</w:t>
      </w:r>
      <w:r w:rsidR="00683684">
        <w:t xml:space="preserve"> (denk aan </w:t>
      </w:r>
      <w:r w:rsidR="00272EC5">
        <w:t xml:space="preserve">‘hutje in het bos’, </w:t>
      </w:r>
      <w:r w:rsidR="00683684">
        <w:t>‘boom</w:t>
      </w:r>
      <w:r w:rsidR="00683684">
        <w:softHyphen/>
        <w:t xml:space="preserve">hut’, </w:t>
      </w:r>
      <w:r w:rsidR="003C2E2D">
        <w:t>‘</w:t>
      </w:r>
      <w:r w:rsidR="00683684">
        <w:t>stadsnomade</w:t>
      </w:r>
      <w:r w:rsidR="003C2E2D">
        <w:t>’</w:t>
      </w:r>
      <w:r w:rsidR="00683684">
        <w:t xml:space="preserve">, etc.), </w:t>
      </w:r>
      <w:r>
        <w:t>wordt</w:t>
      </w:r>
      <w:r w:rsidR="00683684">
        <w:t xml:space="preserve"> het adres</w:t>
      </w:r>
      <w:r w:rsidR="00683684" w:rsidRPr="007C11D6">
        <w:t xml:space="preserve"> </w:t>
      </w:r>
      <w:r>
        <w:t>niet</w:t>
      </w:r>
      <w:r w:rsidR="00683684">
        <w:t xml:space="preserve"> ‘in onderzoek’ geplaatst en </w:t>
      </w:r>
      <w:r>
        <w:t>blijft terug</w:t>
      </w:r>
      <w:r w:rsidR="00683684">
        <w:t>meld</w:t>
      </w:r>
      <w:r>
        <w:t>en achterwege.</w:t>
      </w:r>
      <w:r w:rsidR="003C2E2D">
        <w:t xml:space="preserve"> De inschrijving vindt dan plaats </w:t>
      </w:r>
      <w:r w:rsidR="00B94D1F">
        <w:t>met</w:t>
      </w:r>
      <w:r w:rsidR="003C2E2D">
        <w:t xml:space="preserve"> een Locatiebeschrijving.</w:t>
      </w:r>
    </w:p>
    <w:p w:rsidR="0042729C" w:rsidRDefault="00BC001E" w:rsidP="00683684">
      <w:pPr>
        <w:jc w:val="both"/>
      </w:pPr>
      <w:r w:rsidRPr="003D0A0F">
        <w:rPr>
          <w:u w:val="single"/>
        </w:rPr>
        <w:t>Opmerking</w:t>
      </w:r>
      <w:r>
        <w:rPr>
          <w:u w:val="single"/>
        </w:rPr>
        <w:t xml:space="preserve"> 2</w:t>
      </w:r>
      <w:r>
        <w:t xml:space="preserve">: de hier geschetste procesgang is in overeenstemming met het </w:t>
      </w:r>
      <w:r w:rsidR="006C0BEC">
        <w:t xml:space="preserve">boekje ‘Samenhang BAG en GBA’. </w:t>
      </w:r>
      <w:r w:rsidR="007A2971">
        <w:t xml:space="preserve">De gemeente kan er voor kiezen </w:t>
      </w:r>
      <w:r w:rsidR="00FD7585">
        <w:t xml:space="preserve">te proberen </w:t>
      </w:r>
      <w:r w:rsidR="007A2971">
        <w:t>de terugmelding</w:t>
      </w:r>
      <w:r w:rsidR="00622A5A">
        <w:t xml:space="preserve"> (</w:t>
      </w:r>
      <w:r w:rsidR="007A2971">
        <w:t xml:space="preserve">en het daarin noodzakelijke </w:t>
      </w:r>
      <w:r w:rsidR="007A2971">
        <w:lastRenderedPageBreak/>
        <w:t>onderzoek</w:t>
      </w:r>
      <w:r w:rsidR="00622A5A">
        <w:t>)</w:t>
      </w:r>
      <w:r w:rsidR="007A2971">
        <w:t xml:space="preserve"> binnen enkele dagen te voltooien</w:t>
      </w:r>
      <w:r w:rsidR="00FD7585">
        <w:t xml:space="preserve">, zodat de aangifte ook met een terugmelding </w:t>
      </w:r>
      <w:r w:rsidR="00BC1CF7">
        <w:t xml:space="preserve">in één keer kan worden afgewikkeld </w:t>
      </w:r>
      <w:r w:rsidR="00FD7585">
        <w:t>binnen de gestelde termijn (bijvoorbeeld 5 dagen)</w:t>
      </w:r>
      <w:r w:rsidR="007A2971">
        <w:t xml:space="preserve">. </w:t>
      </w:r>
      <w:r w:rsidR="00FD7585">
        <w:t xml:space="preserve">Dat </w:t>
      </w:r>
      <w:r w:rsidR="00BC5F16">
        <w:t>betekent</w:t>
      </w:r>
      <w:r w:rsidR="00FD7585">
        <w:t xml:space="preserve"> echter </w:t>
      </w:r>
      <w:r w:rsidR="00BC5F16">
        <w:t>dat</w:t>
      </w:r>
      <w:r w:rsidR="00FD7585">
        <w:t xml:space="preserve"> er een strakke samenwerking tussen de GBA- en de BAG Specialist</w:t>
      </w:r>
      <w:r w:rsidR="000F1067">
        <w:t>en</w:t>
      </w:r>
      <w:r w:rsidR="00FD7585">
        <w:t xml:space="preserve"> georganiseerd </w:t>
      </w:r>
      <w:r w:rsidR="00BC5F16">
        <w:t>moet wor</w:t>
      </w:r>
      <w:r w:rsidR="00DE1CD5">
        <w:softHyphen/>
      </w:r>
      <w:r w:rsidR="00BC5F16">
        <w:t>den</w:t>
      </w:r>
      <w:r w:rsidR="00FD7585">
        <w:t xml:space="preserve">. </w:t>
      </w:r>
      <w:r w:rsidR="000F1067">
        <w:t xml:space="preserve">Alleen dan kan snel bepaald worden of </w:t>
      </w:r>
      <w:r w:rsidR="00DE1CD5">
        <w:t xml:space="preserve">er </w:t>
      </w:r>
      <w:r w:rsidR="000F1067">
        <w:t>een feitelijke fout moet worden hersteld, of er een ‘gecon</w:t>
      </w:r>
      <w:r w:rsidR="00BC5F16">
        <w:softHyphen/>
      </w:r>
      <w:r w:rsidR="000F1067">
        <w:t>sta</w:t>
      </w:r>
      <w:r w:rsidR="00BC5F16">
        <w:softHyphen/>
      </w:r>
      <w:r w:rsidR="000F1067">
        <w:t>teerd object’ in de BAG moet worden opgevoerd, waarmee de inschrij</w:t>
      </w:r>
      <w:r w:rsidR="000F1067">
        <w:softHyphen/>
        <w:t>ving voltooid wordt, of de inschrij</w:t>
      </w:r>
      <w:r w:rsidR="00BC5F16">
        <w:softHyphen/>
      </w:r>
      <w:r w:rsidR="000F1067">
        <w:t>ving met een Locatie</w:t>
      </w:r>
      <w:r w:rsidR="000F1067">
        <w:softHyphen/>
        <w:t>be</w:t>
      </w:r>
      <w:r w:rsidR="000F1067">
        <w:softHyphen/>
        <w:t>schrij</w:t>
      </w:r>
      <w:r w:rsidR="000F1067">
        <w:softHyphen/>
        <w:t>ving wordt afgerond.</w:t>
      </w:r>
      <w:r w:rsidR="00EB28ED">
        <w:t xml:space="preserve"> </w:t>
      </w:r>
      <w:r w:rsidR="0042729C">
        <w:t>Met het opl</w:t>
      </w:r>
      <w:r w:rsidR="00DE1CD5">
        <w:t xml:space="preserve">eggen van strakke eisen aan een proces </w:t>
      </w:r>
      <w:r w:rsidR="0042729C">
        <w:t>moet echter terughoudend worden omgesprongen</w:t>
      </w:r>
      <w:r w:rsidR="00DE1CD5">
        <w:t>,</w:t>
      </w:r>
      <w:r w:rsidR="00DE1CD5" w:rsidRPr="00DE1CD5">
        <w:t xml:space="preserve"> </w:t>
      </w:r>
      <w:r w:rsidR="00DE1CD5">
        <w:t>zodra er gevolgen voor de orga</w:t>
      </w:r>
      <w:r w:rsidR="00DE1CD5">
        <w:softHyphen/>
        <w:t>ni</w:t>
      </w:r>
      <w:r w:rsidR="00DE1CD5">
        <w:softHyphen/>
        <w:t>satievorm uit voortvloeien</w:t>
      </w:r>
      <w:r w:rsidR="0042729C">
        <w:t>.</w:t>
      </w:r>
      <w:r w:rsidR="000D0AD1">
        <w:t xml:space="preserve"> Als de gemeente v</w:t>
      </w:r>
      <w:r w:rsidR="0010314D">
        <w:t>oor dit scenario kiest</w:t>
      </w:r>
      <w:r w:rsidR="00F034D8">
        <w:t>,</w:t>
      </w:r>
      <w:r w:rsidR="0010314D">
        <w:t xml:space="preserve"> betekent</w:t>
      </w:r>
      <w:r w:rsidR="000D0AD1">
        <w:t xml:space="preserve"> het dat de proces</w:t>
      </w:r>
      <w:r w:rsidR="000D0AD1">
        <w:softHyphen/>
        <w:t xml:space="preserve">stappen ‘Inschrijven in de GBA’ en </w:t>
      </w:r>
      <w:r w:rsidR="0010314D">
        <w:t xml:space="preserve">‘Verwerken terugmelding’ </w:t>
      </w:r>
      <w:r w:rsidR="00F034D8">
        <w:t>tot</w:t>
      </w:r>
      <w:r w:rsidR="0010314D">
        <w:t xml:space="preserve"> één processtap in elkaar geschoven worden. Ook dan kan het gebeuren dat het terugmelden te veel tijd in beslag neemt en de aangifte voorlopig moet worden afgewikkeld en later met het resultaat van de terugmelding </w:t>
      </w:r>
      <w:r w:rsidR="0074332C">
        <w:t xml:space="preserve">zonodig </w:t>
      </w:r>
      <w:r w:rsidR="0010314D">
        <w:t>wordt gecorri</w:t>
      </w:r>
      <w:r w:rsidR="0010314D">
        <w:softHyphen/>
        <w:t>geerd.</w:t>
      </w:r>
    </w:p>
    <w:p w:rsidR="00683684" w:rsidRPr="000D15DA" w:rsidRDefault="002A6007" w:rsidP="000D15DA">
      <w:pPr>
        <w:pStyle w:val="Kop2"/>
      </w:pPr>
      <w:bookmarkStart w:id="11" w:name="_Toc161406698"/>
      <w:r>
        <w:t>Processtap</w:t>
      </w:r>
      <w:r w:rsidR="00683684" w:rsidRPr="000D15DA">
        <w:t xml:space="preserve"> ‘Behandelen terugmelding’</w:t>
      </w:r>
      <w:bookmarkEnd w:id="11"/>
    </w:p>
    <w:p w:rsidR="00683684" w:rsidRDefault="00847112" w:rsidP="00683684">
      <w:pPr>
        <w:jc w:val="both"/>
      </w:pPr>
      <w:r>
        <w:t>De</w:t>
      </w:r>
      <w:r w:rsidR="00683684">
        <w:t xml:space="preserve"> proces</w:t>
      </w:r>
      <w:r>
        <w:t>stap</w:t>
      </w:r>
      <w:r w:rsidR="00683684">
        <w:t xml:space="preserve"> ‘Behandelen terugme</w:t>
      </w:r>
      <w:r w:rsidR="00103C89">
        <w:t>lding’ begint met h</w:t>
      </w:r>
      <w:r w:rsidR="00683684">
        <w:t>et registreren van de melding, zodat later gecon</w:t>
      </w:r>
      <w:r w:rsidR="00103C89">
        <w:softHyphen/>
      </w:r>
      <w:r w:rsidR="00683684">
        <w:t>tro</w:t>
      </w:r>
      <w:r w:rsidR="00103C89">
        <w:softHyphen/>
      </w:r>
      <w:r w:rsidR="00683684">
        <w:t xml:space="preserve">leerd kan worden of er identieke meldingen zijn gedaan, waarvan het resultaat al bekend is. </w:t>
      </w:r>
      <w:r w:rsidR="00103C89">
        <w:t>In</w:t>
      </w:r>
      <w:r w:rsidR="00683684">
        <w:t xml:space="preserve"> een kort onderzoek, voornamelijk gericht op dossieronderzoek (waar ook het onderzoeken van vori</w:t>
      </w:r>
      <w:r w:rsidR="000D48A3">
        <w:softHyphen/>
      </w:r>
      <w:r w:rsidR="00683684">
        <w:t>ge meldingen in de meldingenregistratie bij behoort) wordt bepaald of er snel uitsluitsel kan worden gege</w:t>
      </w:r>
      <w:r w:rsidR="00683684">
        <w:softHyphen/>
        <w:t>ven. Als de gegevens in de BAG onjuist blijken te zijn ten opzichte van de bron</w:t>
      </w:r>
      <w:r w:rsidR="00683684">
        <w:softHyphen/>
        <w:t>do</w:t>
      </w:r>
      <w:r w:rsidR="00683684">
        <w:softHyphen/>
        <w:t>cu</w:t>
      </w:r>
      <w:r w:rsidR="00683684">
        <w:softHyphen/>
        <w:t>men</w:t>
      </w:r>
      <w:r w:rsidR="00683684">
        <w:softHyphen/>
        <w:t xml:space="preserve">ten </w:t>
      </w:r>
      <w:r w:rsidR="00103C89">
        <w:t>zal</w:t>
      </w:r>
      <w:r w:rsidR="00683684">
        <w:t xml:space="preserve"> een kort onderzoek voldoende</w:t>
      </w:r>
      <w:r w:rsidR="00103C89">
        <w:t xml:space="preserve"> zijn</w:t>
      </w:r>
      <w:r w:rsidR="00683684">
        <w:t xml:space="preserve">. Zie figuur </w:t>
      </w:r>
      <w:r w:rsidR="00ED0CF0">
        <w:t>3</w:t>
      </w:r>
      <w:r w:rsidR="00683684">
        <w:t xml:space="preserve"> voor het proces</w:t>
      </w:r>
      <w:r w:rsidR="00683684">
        <w:softHyphen/>
        <w:t>verloop:</w:t>
      </w:r>
    </w:p>
    <w:p w:rsidR="00683684" w:rsidRPr="00B63F6D" w:rsidRDefault="00683684" w:rsidP="00683684">
      <w:pPr>
        <w:pStyle w:val="Lijstalinea"/>
        <w:numPr>
          <w:ilvl w:val="0"/>
          <w:numId w:val="30"/>
        </w:numPr>
        <w:jc w:val="both"/>
        <w:rPr>
          <w:sz w:val="22"/>
        </w:rPr>
      </w:pPr>
      <w:r w:rsidRPr="00B63F6D">
        <w:rPr>
          <w:sz w:val="22"/>
        </w:rPr>
        <w:t>Registreren melding.</w:t>
      </w:r>
    </w:p>
    <w:p w:rsidR="00683684" w:rsidRPr="00B63F6D" w:rsidRDefault="00683684" w:rsidP="00683684">
      <w:pPr>
        <w:pStyle w:val="Lijstalinea"/>
        <w:numPr>
          <w:ilvl w:val="0"/>
          <w:numId w:val="30"/>
        </w:numPr>
        <w:jc w:val="both"/>
        <w:rPr>
          <w:sz w:val="22"/>
        </w:rPr>
      </w:pPr>
      <w:r w:rsidRPr="00B63F6D">
        <w:rPr>
          <w:sz w:val="22"/>
        </w:rPr>
        <w:t>Uitvoeren kort onderzoek.</w:t>
      </w:r>
    </w:p>
    <w:p w:rsidR="00683684" w:rsidRDefault="00683684" w:rsidP="00683684">
      <w:pPr>
        <w:jc w:val="both"/>
      </w:pPr>
    </w:p>
    <w:p w:rsidR="00683684" w:rsidRDefault="00DF4A9E" w:rsidP="00683684">
      <w:pPr>
        <w:jc w:val="both"/>
      </w:pPr>
      <w:r>
        <w:rPr>
          <w:noProof/>
          <w:lang w:val="en-US" w:eastAsia="nl-NL"/>
        </w:rPr>
        <w:drawing>
          <wp:inline distT="0" distB="0" distL="0" distR="0">
            <wp:extent cx="5756275" cy="2394585"/>
            <wp:effectExtent l="25400" t="0" r="9525" b="0"/>
            <wp:docPr id="1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756275" cy="2394585"/>
                    </a:xfrm>
                    <a:prstGeom prst="rect">
                      <a:avLst/>
                    </a:prstGeom>
                    <a:noFill/>
                    <a:ln w="9525">
                      <a:noFill/>
                      <a:miter lim="800000"/>
                      <a:headEnd/>
                      <a:tailEnd/>
                    </a:ln>
                  </pic:spPr>
                </pic:pic>
              </a:graphicData>
            </a:graphic>
          </wp:inline>
        </w:drawing>
      </w:r>
    </w:p>
    <w:p w:rsidR="00683684" w:rsidRPr="00384C3D" w:rsidRDefault="00683684" w:rsidP="00683684">
      <w:pPr>
        <w:jc w:val="both"/>
        <w:rPr>
          <w:b/>
        </w:rPr>
      </w:pPr>
      <w:r w:rsidRPr="00384C3D">
        <w:rPr>
          <w:b/>
        </w:rPr>
        <w:t xml:space="preserve">Figuur </w:t>
      </w:r>
      <w:r w:rsidR="00ED0CF0">
        <w:rPr>
          <w:b/>
        </w:rPr>
        <w:t>3</w:t>
      </w:r>
      <w:r w:rsidRPr="00384C3D">
        <w:rPr>
          <w:b/>
        </w:rPr>
        <w:t>, Proces</w:t>
      </w:r>
      <w:r w:rsidR="002A6007">
        <w:rPr>
          <w:b/>
        </w:rPr>
        <w:t>stap</w:t>
      </w:r>
      <w:r w:rsidRPr="00384C3D">
        <w:rPr>
          <w:b/>
        </w:rPr>
        <w:t xml:space="preserve"> Behandelen terugmelding</w:t>
      </w:r>
    </w:p>
    <w:p w:rsidR="00683684" w:rsidRDefault="00683684" w:rsidP="00683684">
      <w:pPr>
        <w:jc w:val="both"/>
      </w:pPr>
      <w:r>
        <w:t xml:space="preserve">De BAG kent een termijn van twee dagen voor het korte onderzoek. Als het resultaat dan nog niet beschikbaar is en de twijfel aan de juistheid van de BAG-gegevens </w:t>
      </w:r>
      <w:r w:rsidR="00103C89">
        <w:t>blijft bestaan</w:t>
      </w:r>
      <w:r>
        <w:t xml:space="preserve">, wordt het object in de BAG ‘in onderzoek’ geplaatst en is een vollediger onderzoek nodig. </w:t>
      </w:r>
      <w:r w:rsidR="00CE2FAD">
        <w:t>Daarbij kan</w:t>
      </w:r>
      <w:r>
        <w:t xml:space="preserve"> veld</w:t>
      </w:r>
      <w:r w:rsidR="00CE2FAD">
        <w:softHyphen/>
      </w:r>
      <w:r>
        <w:t>onder</w:t>
      </w:r>
      <w:r w:rsidR="00CE2FAD">
        <w:softHyphen/>
      </w:r>
      <w:r>
        <w:t xml:space="preserve">zoek </w:t>
      </w:r>
      <w:r w:rsidR="00CE2FAD">
        <w:t>nodig zijn</w:t>
      </w:r>
      <w:r>
        <w:t xml:space="preserve"> om de feitelijke situatie in de buiten</w:t>
      </w:r>
      <w:r>
        <w:softHyphen/>
        <w:t>wereld te bepalen. De resultaten van het onderzoek worden in brondo</w:t>
      </w:r>
      <w:r>
        <w:softHyphen/>
        <w:t>cumen</w:t>
      </w:r>
      <w:r>
        <w:softHyphen/>
        <w:t>ten (waaronder pro</w:t>
      </w:r>
      <w:r>
        <w:softHyphen/>
        <w:t>cessen verbaal) vastgelegd:</w:t>
      </w:r>
    </w:p>
    <w:p w:rsidR="00683684" w:rsidRPr="00B63F6D" w:rsidRDefault="00683684" w:rsidP="00B63F6D">
      <w:pPr>
        <w:pStyle w:val="Lijstalinea"/>
        <w:numPr>
          <w:ilvl w:val="0"/>
          <w:numId w:val="30"/>
        </w:numPr>
        <w:jc w:val="both"/>
        <w:rPr>
          <w:sz w:val="22"/>
        </w:rPr>
      </w:pPr>
      <w:r w:rsidRPr="00B63F6D">
        <w:rPr>
          <w:sz w:val="22"/>
        </w:rPr>
        <w:t>Object ‘in onderzoek’ plaatsen.</w:t>
      </w:r>
    </w:p>
    <w:p w:rsidR="00683684" w:rsidRPr="00B63F6D" w:rsidRDefault="00683684" w:rsidP="00B63F6D">
      <w:pPr>
        <w:pStyle w:val="Lijstalinea"/>
        <w:numPr>
          <w:ilvl w:val="0"/>
          <w:numId w:val="30"/>
        </w:numPr>
        <w:jc w:val="both"/>
        <w:rPr>
          <w:sz w:val="22"/>
        </w:rPr>
      </w:pPr>
      <w:r w:rsidRPr="00B63F6D">
        <w:rPr>
          <w:sz w:val="22"/>
        </w:rPr>
        <w:lastRenderedPageBreak/>
        <w:t>Uitvoeren volledig onderzoek.</w:t>
      </w:r>
    </w:p>
    <w:p w:rsidR="00683684" w:rsidRPr="00B63F6D" w:rsidRDefault="00683684" w:rsidP="00B63F6D">
      <w:pPr>
        <w:pStyle w:val="Lijstalinea"/>
        <w:numPr>
          <w:ilvl w:val="0"/>
          <w:numId w:val="30"/>
        </w:numPr>
        <w:jc w:val="both"/>
        <w:rPr>
          <w:sz w:val="22"/>
        </w:rPr>
      </w:pPr>
      <w:r w:rsidRPr="00B63F6D">
        <w:rPr>
          <w:sz w:val="22"/>
        </w:rPr>
        <w:t>Formuleren onderzoeksresultaat.</w:t>
      </w:r>
    </w:p>
    <w:p w:rsidR="00683684" w:rsidRDefault="00683684" w:rsidP="00683684">
      <w:pPr>
        <w:jc w:val="both"/>
      </w:pPr>
    </w:p>
    <w:p w:rsidR="00683684" w:rsidRDefault="00683684" w:rsidP="00683684">
      <w:pPr>
        <w:jc w:val="both"/>
      </w:pPr>
      <w:r>
        <w:t>Als er onjuistheden zijn gevonden, worden de registraties (in de BAG) bijgewerkt op basis van de brondocumenten die tijdens het onderzoek zijn opgesteld. Hiermee wordt de juistheid van de gege</w:t>
      </w:r>
      <w:r w:rsidR="00462ACB">
        <w:softHyphen/>
      </w:r>
      <w:r>
        <w:t>vens in de BAG hersteld en worden de objecten, die eerder ‘in onderzoek’ zijn geplaatst, weer uit onderzoek gehaald (wat natuurlijk ook gebeurt als er geen onjuistheden zijn gevonden):</w:t>
      </w:r>
    </w:p>
    <w:p w:rsidR="00683684" w:rsidRPr="00B63F6D" w:rsidRDefault="00683684" w:rsidP="00683684">
      <w:pPr>
        <w:pStyle w:val="Lijstalinea"/>
        <w:numPr>
          <w:ilvl w:val="0"/>
          <w:numId w:val="30"/>
        </w:numPr>
        <w:jc w:val="both"/>
        <w:rPr>
          <w:sz w:val="22"/>
        </w:rPr>
      </w:pPr>
      <w:r w:rsidRPr="00B63F6D">
        <w:rPr>
          <w:sz w:val="22"/>
        </w:rPr>
        <w:t xml:space="preserve">Bijwerken </w:t>
      </w:r>
      <w:r w:rsidR="00462ACB">
        <w:rPr>
          <w:sz w:val="22"/>
        </w:rPr>
        <w:t>gegevens in BAG</w:t>
      </w:r>
      <w:r w:rsidRPr="00B63F6D">
        <w:rPr>
          <w:sz w:val="22"/>
        </w:rPr>
        <w:t>.</w:t>
      </w:r>
    </w:p>
    <w:p w:rsidR="00683684" w:rsidRPr="00B63F6D" w:rsidRDefault="00683684" w:rsidP="00683684">
      <w:pPr>
        <w:pStyle w:val="Lijstalinea"/>
        <w:numPr>
          <w:ilvl w:val="0"/>
          <w:numId w:val="30"/>
        </w:numPr>
        <w:jc w:val="both"/>
        <w:rPr>
          <w:sz w:val="22"/>
        </w:rPr>
      </w:pPr>
      <w:r w:rsidRPr="00B63F6D">
        <w:rPr>
          <w:sz w:val="22"/>
        </w:rPr>
        <w:t>Object uit onderzoek halen.</w:t>
      </w:r>
    </w:p>
    <w:p w:rsidR="00683684" w:rsidRDefault="00683684" w:rsidP="00683684">
      <w:pPr>
        <w:jc w:val="both"/>
      </w:pPr>
    </w:p>
    <w:p w:rsidR="00683684" w:rsidRDefault="00683684" w:rsidP="00683684">
      <w:pPr>
        <w:jc w:val="both"/>
      </w:pPr>
      <w:r w:rsidRPr="00650D42">
        <w:rPr>
          <w:u w:val="single"/>
        </w:rPr>
        <w:t>Opmerking</w:t>
      </w:r>
      <w:r>
        <w:t>: Als er</w:t>
      </w:r>
      <w:r w:rsidR="003F27AF" w:rsidRPr="003F27AF">
        <w:t xml:space="preserve"> </w:t>
      </w:r>
      <w:r w:rsidR="003F27AF">
        <w:t>een niet-legitieme situatie is aangetroffen (op het niveau van de BAG)</w:t>
      </w:r>
      <w:r>
        <w:t xml:space="preserve"> heeft de gemeente de keuze om te legaliseren of te handhaven. Het proces van legali</w:t>
      </w:r>
      <w:r>
        <w:softHyphen/>
        <w:t xml:space="preserve">sering of handhaving valt echter </w:t>
      </w:r>
      <w:r w:rsidRPr="00650D42">
        <w:rPr>
          <w:i/>
        </w:rPr>
        <w:t>buiten</w:t>
      </w:r>
      <w:r>
        <w:t xml:space="preserve"> het terugmeldproces voor de BAG. Met het resultaat van de terugmelding wordt uit</w:t>
      </w:r>
      <w:r w:rsidR="003F27AF">
        <w:softHyphen/>
      </w:r>
      <w:r>
        <w:t>slui</w:t>
      </w:r>
      <w:r w:rsidR="003F27AF">
        <w:softHyphen/>
      </w:r>
      <w:r>
        <w:t>tend de overeenstemming van de BAG-gegevens met de feitelijke situatie hersteld.</w:t>
      </w:r>
    </w:p>
    <w:p w:rsidR="00683684" w:rsidRDefault="00D43735" w:rsidP="00683684">
      <w:pPr>
        <w:jc w:val="both"/>
      </w:pPr>
      <w:r>
        <w:t>De</w:t>
      </w:r>
      <w:r w:rsidR="00683684">
        <w:t xml:space="preserve"> proces</w:t>
      </w:r>
      <w:r>
        <w:t>stap</w:t>
      </w:r>
      <w:r w:rsidR="00683684">
        <w:t xml:space="preserve"> ‘Behandelen terugmelding’ wordt voltooid door het resultaat naar de bron van de mel</w:t>
      </w:r>
      <w:r>
        <w:softHyphen/>
      </w:r>
      <w:r w:rsidR="00683684">
        <w:t>ding te sturen</w:t>
      </w:r>
      <w:r w:rsidR="003F27AF">
        <w:t>, de eventuele wijzigingen ook aan de BAGLV te leveren</w:t>
      </w:r>
      <w:r w:rsidR="00683684">
        <w:t xml:space="preserve"> en de melding in de meldin</w:t>
      </w:r>
      <w:r>
        <w:softHyphen/>
      </w:r>
      <w:r w:rsidR="00683684">
        <w:t>gen</w:t>
      </w:r>
      <w:r>
        <w:softHyphen/>
      </w:r>
      <w:r w:rsidR="00683684">
        <w:t>registratie af te sluiten. Zo kun</w:t>
      </w:r>
      <w:r w:rsidR="00683684">
        <w:softHyphen/>
        <w:t>nen soortgelijke meldingen en reeds gevonden resultaten worden herkend bij toekom</w:t>
      </w:r>
      <w:r w:rsidR="00683684">
        <w:softHyphen/>
        <w:t>sti</w:t>
      </w:r>
      <w:r w:rsidR="00683684">
        <w:softHyphen/>
        <w:t>ge meldingen:</w:t>
      </w:r>
    </w:p>
    <w:p w:rsidR="00462ACB" w:rsidRDefault="00683684" w:rsidP="00683684">
      <w:pPr>
        <w:pStyle w:val="Lijstalinea"/>
        <w:numPr>
          <w:ilvl w:val="0"/>
          <w:numId w:val="30"/>
        </w:numPr>
        <w:jc w:val="both"/>
        <w:rPr>
          <w:sz w:val="22"/>
        </w:rPr>
      </w:pPr>
      <w:r w:rsidRPr="00547D9D">
        <w:rPr>
          <w:sz w:val="22"/>
        </w:rPr>
        <w:t>Afmelden naar de bron.</w:t>
      </w:r>
    </w:p>
    <w:p w:rsidR="00683684" w:rsidRPr="00547D9D" w:rsidRDefault="00462ACB" w:rsidP="00683684">
      <w:pPr>
        <w:pStyle w:val="Lijstalinea"/>
        <w:numPr>
          <w:ilvl w:val="0"/>
          <w:numId w:val="30"/>
        </w:numPr>
        <w:jc w:val="both"/>
        <w:rPr>
          <w:sz w:val="22"/>
        </w:rPr>
      </w:pPr>
      <w:r>
        <w:rPr>
          <w:sz w:val="22"/>
        </w:rPr>
        <w:t>Aanleveren gegevens aan BAGLV.</w:t>
      </w:r>
    </w:p>
    <w:p w:rsidR="00683684" w:rsidRPr="00547D9D" w:rsidRDefault="00683684" w:rsidP="00683684">
      <w:pPr>
        <w:pStyle w:val="Lijstalinea"/>
        <w:numPr>
          <w:ilvl w:val="0"/>
          <w:numId w:val="30"/>
        </w:numPr>
        <w:jc w:val="both"/>
        <w:rPr>
          <w:sz w:val="22"/>
        </w:rPr>
      </w:pPr>
      <w:r w:rsidRPr="00547D9D">
        <w:rPr>
          <w:sz w:val="22"/>
        </w:rPr>
        <w:t>Afsluiten melding.</w:t>
      </w:r>
    </w:p>
    <w:p w:rsidR="00683684" w:rsidRDefault="00683684" w:rsidP="00683684">
      <w:pPr>
        <w:jc w:val="both"/>
      </w:pPr>
    </w:p>
    <w:p w:rsidR="00841AE5" w:rsidRDefault="00683684" w:rsidP="00683684">
      <w:pPr>
        <w:jc w:val="both"/>
      </w:pPr>
      <w:r w:rsidRPr="00474E22">
        <w:rPr>
          <w:u w:val="single"/>
        </w:rPr>
        <w:t>Opmerking</w:t>
      </w:r>
      <w:r>
        <w:t xml:space="preserve">: Het ‘Afmelden naar de bron’ is </w:t>
      </w:r>
      <w:r w:rsidRPr="00474E22">
        <w:rPr>
          <w:i/>
        </w:rPr>
        <w:t>noodzakelijk</w:t>
      </w:r>
      <w:r>
        <w:t xml:space="preserve"> om de vervolgactiviteiten bij de GBA in gang te kunnen zetten. Bij een melding via Digimelding en de BAGLV is actieve terugkoppeling naar de (oorspronkelijke) bron echter niet gegarandeerd</w:t>
      </w:r>
      <w:r w:rsidR="007E5B55">
        <w:t xml:space="preserve"> en moet er in ieder geval een signaal aan de GBA worden gegeven</w:t>
      </w:r>
      <w:r>
        <w:t>.</w:t>
      </w:r>
    </w:p>
    <w:p w:rsidR="00683684" w:rsidRDefault="00683684" w:rsidP="00683684">
      <w:pPr>
        <w:jc w:val="both"/>
      </w:pPr>
    </w:p>
    <w:p w:rsidR="00683684" w:rsidRPr="000D15DA" w:rsidRDefault="00683684" w:rsidP="000D15DA">
      <w:pPr>
        <w:pStyle w:val="Kop2"/>
      </w:pPr>
      <w:r>
        <w:rPr>
          <w:sz w:val="28"/>
        </w:rPr>
        <w:br w:type="page"/>
      </w:r>
      <w:bookmarkStart w:id="12" w:name="_Toc161406699"/>
      <w:r w:rsidR="007B01CD">
        <w:lastRenderedPageBreak/>
        <w:t>Processtap</w:t>
      </w:r>
      <w:r w:rsidRPr="000D15DA">
        <w:t xml:space="preserve"> ‘Verwerken terugmelding’</w:t>
      </w:r>
      <w:bookmarkEnd w:id="12"/>
    </w:p>
    <w:p w:rsidR="00683684" w:rsidRDefault="00683684" w:rsidP="00683684">
      <w:pPr>
        <w:jc w:val="both"/>
      </w:pPr>
      <w:r>
        <w:t>Als het resultaat van de terugmelding wordt ontvangen, wordt het proces in het GBA-domein voort</w:t>
      </w:r>
      <w:r w:rsidR="00CB380A">
        <w:softHyphen/>
      </w:r>
      <w:r>
        <w:t>gezet. Voor de GBA heeft dit het karakter van een ‘spontane melding’, al is deze het gevolg van de eerder vanuit de GBA gegeven terugmelding</w:t>
      </w:r>
      <w:r w:rsidR="0026120A">
        <w:t xml:space="preserve"> (tenzij er rechtstreeks aan de nog lopende inschrij</w:t>
      </w:r>
      <w:r w:rsidR="0026120A">
        <w:softHyphen/>
        <w:t>vings</w:t>
      </w:r>
      <w:r w:rsidR="0026120A">
        <w:softHyphen/>
        <w:t>activiteiten kan worden teruggekoppeld, zodat het resultaat in één keer bij de inschrijving kan wor</w:t>
      </w:r>
      <w:r w:rsidR="00163EBE">
        <w:softHyphen/>
      </w:r>
      <w:r w:rsidR="0026120A">
        <w:t>den meegenomen)</w:t>
      </w:r>
      <w:r>
        <w:t xml:space="preserve">. </w:t>
      </w:r>
      <w:r w:rsidR="007723BE">
        <w:t>De</w:t>
      </w:r>
      <w:r>
        <w:t xml:space="preserve"> beschreven </w:t>
      </w:r>
      <w:r w:rsidR="007723BE">
        <w:t>activiteiten gaan</w:t>
      </w:r>
      <w:r>
        <w:t xml:space="preserve"> </w:t>
      </w:r>
      <w:r w:rsidR="001F5A67">
        <w:t>uit van</w:t>
      </w:r>
      <w:r w:rsidR="00C424D6">
        <w:t xml:space="preserve"> </w:t>
      </w:r>
      <w:r w:rsidR="001F5A67">
        <w:t>het meeleveren</w:t>
      </w:r>
      <w:r>
        <w:t xml:space="preserve"> </w:t>
      </w:r>
      <w:r w:rsidR="00C424D6">
        <w:t>van de benodigde actu</w:t>
      </w:r>
      <w:r w:rsidR="00163EBE">
        <w:softHyphen/>
      </w:r>
      <w:r w:rsidR="00C424D6">
        <w:t>e</w:t>
      </w:r>
      <w:r w:rsidR="00163EBE">
        <w:softHyphen/>
      </w:r>
      <w:r w:rsidR="00C424D6">
        <w:t>le BAG-gegevens met</w:t>
      </w:r>
      <w:r>
        <w:t xml:space="preserve"> het resultaat van de terug</w:t>
      </w:r>
      <w:r w:rsidR="007723BE">
        <w:softHyphen/>
      </w:r>
      <w:r>
        <w:t>mel</w:t>
      </w:r>
      <w:r w:rsidR="007723BE">
        <w:softHyphen/>
      </w:r>
      <w:r>
        <w:t>ding (on</w:t>
      </w:r>
      <w:r>
        <w:softHyphen/>
        <w:t>juist</w:t>
      </w:r>
      <w:r>
        <w:softHyphen/>
        <w:t xml:space="preserve">heden gevonden of niet). Als dit niet gebeurt, moeten deze gegevens alsnog vanuit </w:t>
      </w:r>
      <w:r w:rsidR="007723BE">
        <w:t>de</w:t>
      </w:r>
      <w:r>
        <w:t xml:space="preserve"> GBA-</w:t>
      </w:r>
      <w:r w:rsidR="007723BE">
        <w:t>activiteiten</w:t>
      </w:r>
      <w:r>
        <w:t xml:space="preserve"> worden opge</w:t>
      </w:r>
      <w:r>
        <w:softHyphen/>
        <w:t>vraagd.</w:t>
      </w:r>
    </w:p>
    <w:p w:rsidR="00683684" w:rsidRDefault="00683684" w:rsidP="00683684">
      <w:pPr>
        <w:jc w:val="both"/>
      </w:pPr>
      <w:r>
        <w:t>Als er inderdaad een onjui</w:t>
      </w:r>
      <w:r w:rsidR="008B1C85">
        <w:t>stheid in de BAG is aange</w:t>
      </w:r>
      <w:r w:rsidR="008B1C85">
        <w:softHyphen/>
        <w:t>toond</w:t>
      </w:r>
      <w:r w:rsidR="001E5E40">
        <w:t>,</w:t>
      </w:r>
      <w:r>
        <w:t xml:space="preserve"> is deze i</w:t>
      </w:r>
      <w:r w:rsidR="001E5E40">
        <w:t>nmiddels in de BAG gecorrigeerd.</w:t>
      </w:r>
      <w:r w:rsidR="00C424D6">
        <w:t xml:space="preserve"> </w:t>
      </w:r>
      <w:r w:rsidR="001E5E40">
        <w:t>H</w:t>
      </w:r>
      <w:r>
        <w:t>et adres in de GBA</w:t>
      </w:r>
      <w:r w:rsidR="001E5E40">
        <w:t xml:space="preserve"> wordt</w:t>
      </w:r>
      <w:r>
        <w:t xml:space="preserve"> </w:t>
      </w:r>
      <w:r w:rsidR="00C424D6">
        <w:t xml:space="preserve">‘uit onderzoek’ gehaald en </w:t>
      </w:r>
      <w:r>
        <w:t>de adresgegevens op de persoonslijst</w:t>
      </w:r>
      <w:r w:rsidR="001E5E40" w:rsidRPr="001E5E40">
        <w:t xml:space="preserve"> </w:t>
      </w:r>
      <w:r w:rsidR="001E5E40">
        <w:t>worden</w:t>
      </w:r>
      <w:r>
        <w:t xml:space="preserve"> </w:t>
      </w:r>
      <w:r w:rsidR="00C424D6">
        <w:t>gecorrigeerd, waarbij de</w:t>
      </w:r>
      <w:r>
        <w:t xml:space="preserve"> </w:t>
      </w:r>
      <w:r w:rsidR="00C424D6">
        <w:t>aan de BAG ontleende gegevens worden opgenomen</w:t>
      </w:r>
      <w:r>
        <w:t xml:space="preserve"> (zie figuur </w:t>
      </w:r>
      <w:r w:rsidR="00AF43A6">
        <w:t>4</w:t>
      </w:r>
      <w:r>
        <w:t>):</w:t>
      </w:r>
    </w:p>
    <w:p w:rsidR="00683684" w:rsidRPr="008E1712" w:rsidRDefault="00683684" w:rsidP="00683684">
      <w:pPr>
        <w:pStyle w:val="Lijstalinea"/>
        <w:numPr>
          <w:ilvl w:val="0"/>
          <w:numId w:val="30"/>
        </w:numPr>
        <w:jc w:val="both"/>
        <w:rPr>
          <w:sz w:val="22"/>
        </w:rPr>
      </w:pPr>
      <w:r w:rsidRPr="008E1712">
        <w:rPr>
          <w:sz w:val="22"/>
        </w:rPr>
        <w:t>Ontvangen resultaat terugmelding.</w:t>
      </w:r>
    </w:p>
    <w:p w:rsidR="00683684" w:rsidRPr="008E1712" w:rsidRDefault="00683684" w:rsidP="00683684">
      <w:pPr>
        <w:pStyle w:val="Lijstalinea"/>
        <w:numPr>
          <w:ilvl w:val="0"/>
          <w:numId w:val="30"/>
        </w:numPr>
        <w:jc w:val="both"/>
        <w:rPr>
          <w:sz w:val="22"/>
        </w:rPr>
      </w:pPr>
      <w:r w:rsidRPr="008E1712">
        <w:rPr>
          <w:sz w:val="22"/>
        </w:rPr>
        <w:t>Adres uit onderzoek halen.</w:t>
      </w:r>
    </w:p>
    <w:p w:rsidR="00683684" w:rsidRPr="008E1712" w:rsidRDefault="00683684" w:rsidP="00683684">
      <w:pPr>
        <w:pStyle w:val="Lijstalinea"/>
        <w:numPr>
          <w:ilvl w:val="0"/>
          <w:numId w:val="30"/>
        </w:numPr>
        <w:jc w:val="both"/>
        <w:rPr>
          <w:sz w:val="22"/>
        </w:rPr>
      </w:pPr>
      <w:r w:rsidRPr="008E1712">
        <w:rPr>
          <w:sz w:val="22"/>
        </w:rPr>
        <w:t xml:space="preserve">Adres </w:t>
      </w:r>
      <w:r w:rsidR="00C424D6">
        <w:rPr>
          <w:sz w:val="22"/>
        </w:rPr>
        <w:t>corrigeren en</w:t>
      </w:r>
      <w:r w:rsidRPr="008E1712">
        <w:rPr>
          <w:sz w:val="22"/>
        </w:rPr>
        <w:t xml:space="preserve"> BAG-gegevens</w:t>
      </w:r>
      <w:r w:rsidR="008B1C85">
        <w:rPr>
          <w:sz w:val="22"/>
        </w:rPr>
        <w:t xml:space="preserve"> opnemen</w:t>
      </w:r>
      <w:r w:rsidRPr="008E1712">
        <w:rPr>
          <w:sz w:val="22"/>
        </w:rPr>
        <w:t>.</w:t>
      </w:r>
    </w:p>
    <w:p w:rsidR="00683684" w:rsidRDefault="00683684" w:rsidP="00683684">
      <w:pPr>
        <w:jc w:val="both"/>
      </w:pPr>
    </w:p>
    <w:p w:rsidR="00683684" w:rsidRDefault="00AD5180" w:rsidP="00683684">
      <w:pPr>
        <w:jc w:val="both"/>
      </w:pPr>
      <w:r>
        <w:rPr>
          <w:noProof/>
          <w:lang w:val="en-US" w:eastAsia="nl-NL"/>
        </w:rPr>
        <w:drawing>
          <wp:inline distT="0" distB="0" distL="0" distR="0">
            <wp:extent cx="5756275" cy="3999865"/>
            <wp:effectExtent l="25400" t="0" r="9525"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756275" cy="3999865"/>
                    </a:xfrm>
                    <a:prstGeom prst="rect">
                      <a:avLst/>
                    </a:prstGeom>
                    <a:noFill/>
                    <a:ln w="9525">
                      <a:noFill/>
                      <a:miter lim="800000"/>
                      <a:headEnd/>
                      <a:tailEnd/>
                    </a:ln>
                  </pic:spPr>
                </pic:pic>
              </a:graphicData>
            </a:graphic>
          </wp:inline>
        </w:drawing>
      </w:r>
    </w:p>
    <w:p w:rsidR="00683684" w:rsidRPr="00384C3D" w:rsidRDefault="00683684" w:rsidP="00683684">
      <w:pPr>
        <w:jc w:val="both"/>
        <w:rPr>
          <w:b/>
        </w:rPr>
      </w:pPr>
      <w:r w:rsidRPr="00384C3D">
        <w:rPr>
          <w:b/>
        </w:rPr>
        <w:t xml:space="preserve">Figuur </w:t>
      </w:r>
      <w:r w:rsidR="00AF43A6">
        <w:rPr>
          <w:b/>
        </w:rPr>
        <w:t>4</w:t>
      </w:r>
      <w:r w:rsidRPr="00384C3D">
        <w:rPr>
          <w:b/>
        </w:rPr>
        <w:t>, Proces</w:t>
      </w:r>
      <w:r w:rsidR="007B01CD">
        <w:rPr>
          <w:b/>
        </w:rPr>
        <w:t>stap</w:t>
      </w:r>
      <w:r w:rsidRPr="00384C3D">
        <w:rPr>
          <w:b/>
        </w:rPr>
        <w:t xml:space="preserve"> Verwerken terugmelding</w:t>
      </w:r>
    </w:p>
    <w:p w:rsidR="009205FB" w:rsidRDefault="00DD64C6" w:rsidP="00683684">
      <w:pPr>
        <w:jc w:val="both"/>
      </w:pPr>
      <w:r>
        <w:t>Indien</w:t>
      </w:r>
      <w:r w:rsidR="00683684">
        <w:t xml:space="preserve"> er geen onjuistheden in de BAG gevonden zijn en het bij de aangifte opgegeven adres </w:t>
      </w:r>
      <w:r w:rsidR="009205FB">
        <w:t>verwijst naar een (potentieel) adresseerbaar object, dan kan er sprake zijn van de volgende situaties:</w:t>
      </w:r>
    </w:p>
    <w:p w:rsidR="00D773A8" w:rsidRDefault="00D773A8" w:rsidP="009205FB">
      <w:pPr>
        <w:pStyle w:val="Lijstalinea"/>
        <w:numPr>
          <w:ilvl w:val="0"/>
          <w:numId w:val="26"/>
        </w:numPr>
        <w:jc w:val="both"/>
        <w:rPr>
          <w:sz w:val="22"/>
        </w:rPr>
      </w:pPr>
      <w:r>
        <w:rPr>
          <w:sz w:val="22"/>
        </w:rPr>
        <w:t>De fouten in de aangifte of onduidelijkheden in de aangifte en/of de lokale situatie zijn on</w:t>
      </w:r>
      <w:r w:rsidR="00007B1F">
        <w:rPr>
          <w:sz w:val="22"/>
        </w:rPr>
        <w:softHyphen/>
      </w:r>
      <w:r>
        <w:rPr>
          <w:sz w:val="22"/>
        </w:rPr>
        <w:t>der</w:t>
      </w:r>
      <w:r w:rsidR="00007B1F">
        <w:rPr>
          <w:sz w:val="22"/>
        </w:rPr>
        <w:softHyphen/>
      </w:r>
      <w:r w:rsidR="005E4BC1">
        <w:rPr>
          <w:sz w:val="22"/>
        </w:rPr>
        <w:softHyphen/>
      </w:r>
      <w:r>
        <w:rPr>
          <w:sz w:val="22"/>
        </w:rPr>
        <w:t>zocht en de juiste verblijfplaats is alsnog geïdentificeerd.</w:t>
      </w:r>
    </w:p>
    <w:p w:rsidR="008130EB" w:rsidRDefault="008130EB" w:rsidP="009205FB">
      <w:pPr>
        <w:pStyle w:val="Lijstalinea"/>
        <w:numPr>
          <w:ilvl w:val="0"/>
          <w:numId w:val="26"/>
        </w:numPr>
        <w:jc w:val="both"/>
        <w:rPr>
          <w:sz w:val="22"/>
        </w:rPr>
      </w:pPr>
      <w:r>
        <w:rPr>
          <w:sz w:val="22"/>
        </w:rPr>
        <w:lastRenderedPageBreak/>
        <w:t xml:space="preserve">Er is een object aangetroffen dat nog niet </w:t>
      </w:r>
      <w:r w:rsidR="00FB51AC">
        <w:rPr>
          <w:sz w:val="22"/>
        </w:rPr>
        <w:t xml:space="preserve">in de BAG </w:t>
      </w:r>
      <w:r>
        <w:rPr>
          <w:sz w:val="22"/>
        </w:rPr>
        <w:t>geregistreerd was en nu als ‘gecon</w:t>
      </w:r>
      <w:r w:rsidR="00FB51AC">
        <w:rPr>
          <w:sz w:val="22"/>
        </w:rPr>
        <w:softHyphen/>
      </w:r>
      <w:r>
        <w:rPr>
          <w:sz w:val="22"/>
        </w:rPr>
        <w:t>sta</w:t>
      </w:r>
      <w:r w:rsidR="00FB51AC">
        <w:rPr>
          <w:sz w:val="22"/>
        </w:rPr>
        <w:softHyphen/>
      </w:r>
      <w:r>
        <w:rPr>
          <w:sz w:val="22"/>
        </w:rPr>
        <w:t>teerd object’ in de BAG is opgenomen.</w:t>
      </w:r>
    </w:p>
    <w:p w:rsidR="00DD64C6" w:rsidRPr="009205FB" w:rsidRDefault="008130EB" w:rsidP="009205FB">
      <w:pPr>
        <w:pStyle w:val="Lijstalinea"/>
        <w:numPr>
          <w:ilvl w:val="0"/>
          <w:numId w:val="26"/>
        </w:numPr>
        <w:jc w:val="both"/>
        <w:rPr>
          <w:sz w:val="22"/>
        </w:rPr>
      </w:pPr>
      <w:r>
        <w:rPr>
          <w:sz w:val="22"/>
        </w:rPr>
        <w:t>Er is sprake van een BAG-object</w:t>
      </w:r>
      <w:r w:rsidR="00980656">
        <w:rPr>
          <w:sz w:val="22"/>
        </w:rPr>
        <w:t xml:space="preserve"> </w:t>
      </w:r>
      <w:r w:rsidR="005E4BC1">
        <w:rPr>
          <w:sz w:val="22"/>
        </w:rPr>
        <w:t xml:space="preserve">dat </w:t>
      </w:r>
      <w:r w:rsidR="00980656">
        <w:rPr>
          <w:sz w:val="22"/>
        </w:rPr>
        <w:t>geen woonstatus heeft (</w:t>
      </w:r>
      <w:r w:rsidR="00C479C8">
        <w:rPr>
          <w:sz w:val="22"/>
        </w:rPr>
        <w:t>als</w:t>
      </w:r>
      <w:r w:rsidR="005E4BC1">
        <w:rPr>
          <w:sz w:val="22"/>
        </w:rPr>
        <w:t xml:space="preserve"> </w:t>
      </w:r>
      <w:r w:rsidR="00980656">
        <w:rPr>
          <w:sz w:val="22"/>
        </w:rPr>
        <w:t xml:space="preserve">gebruiksdoel is </w:t>
      </w:r>
      <w:r w:rsidR="004450B2">
        <w:rPr>
          <w:sz w:val="22"/>
        </w:rPr>
        <w:t>geen woon</w:t>
      </w:r>
      <w:r w:rsidR="00C479C8">
        <w:rPr>
          <w:sz w:val="22"/>
        </w:rPr>
        <w:softHyphen/>
      </w:r>
      <w:r w:rsidR="004450B2">
        <w:rPr>
          <w:sz w:val="22"/>
        </w:rPr>
        <w:t>functie</w:t>
      </w:r>
      <w:r w:rsidR="00980656">
        <w:rPr>
          <w:sz w:val="22"/>
        </w:rPr>
        <w:t xml:space="preserve"> </w:t>
      </w:r>
      <w:r w:rsidR="00C479C8">
        <w:rPr>
          <w:sz w:val="22"/>
        </w:rPr>
        <w:t xml:space="preserve">opgenomen </w:t>
      </w:r>
      <w:r w:rsidR="00980656">
        <w:rPr>
          <w:sz w:val="22"/>
        </w:rPr>
        <w:t>of</w:t>
      </w:r>
      <w:r w:rsidR="00FB51AC">
        <w:rPr>
          <w:sz w:val="22"/>
        </w:rPr>
        <w:t xml:space="preserve"> de status van bouw of sloop geeft aan dat er </w:t>
      </w:r>
      <w:r w:rsidR="007A5F02">
        <w:rPr>
          <w:sz w:val="22"/>
        </w:rPr>
        <w:t xml:space="preserve">(nog) </w:t>
      </w:r>
      <w:r w:rsidR="00FB51AC">
        <w:rPr>
          <w:sz w:val="22"/>
        </w:rPr>
        <w:t>niet zou kunnen worden gewoond).</w:t>
      </w:r>
    </w:p>
    <w:p w:rsidR="00DD64C6" w:rsidRDefault="00DD64C6" w:rsidP="00683684">
      <w:pPr>
        <w:jc w:val="both"/>
      </w:pPr>
    </w:p>
    <w:p w:rsidR="007A5F02" w:rsidRDefault="002267BD" w:rsidP="007A5F02">
      <w:pPr>
        <w:jc w:val="both"/>
      </w:pPr>
      <w:r>
        <w:t>Het gevonden resultaat wordt</w:t>
      </w:r>
      <w:r w:rsidR="007A5F02">
        <w:t xml:space="preserve"> met de burger </w:t>
      </w:r>
      <w:r>
        <w:t>afgestemd</w:t>
      </w:r>
      <w:r w:rsidR="007A5F02">
        <w:t xml:space="preserve"> om te bepalen </w:t>
      </w:r>
      <w:r w:rsidR="00A9420C">
        <w:t>welke vervolgacties nodig zijn</w:t>
      </w:r>
      <w:r w:rsidR="007A5F02">
        <w:t>. Er zou bijvoorbeeld sprake kunnen zijn van een niet-legitieme situatie, waarbij de gemeente voor de keus staat deze situatie te legaliseren of tot handhaving over te gaan. Afhankelijk van het resultaat van de vervolgacties wordt het adres zonodig gecorrigeerd:</w:t>
      </w:r>
    </w:p>
    <w:p w:rsidR="007A5F02" w:rsidRPr="00AF43A6" w:rsidRDefault="007A5F02" w:rsidP="007A5F02">
      <w:pPr>
        <w:pStyle w:val="Lijstalinea"/>
        <w:numPr>
          <w:ilvl w:val="0"/>
          <w:numId w:val="30"/>
        </w:numPr>
        <w:jc w:val="both"/>
        <w:rPr>
          <w:sz w:val="22"/>
        </w:rPr>
      </w:pPr>
      <w:r w:rsidRPr="00AF43A6">
        <w:rPr>
          <w:sz w:val="22"/>
        </w:rPr>
        <w:t>Nader contact met de burger.</w:t>
      </w:r>
    </w:p>
    <w:p w:rsidR="007A5F02" w:rsidRPr="00AF43A6" w:rsidRDefault="007A5F02" w:rsidP="007A5F02">
      <w:pPr>
        <w:pStyle w:val="Lijstalinea"/>
        <w:numPr>
          <w:ilvl w:val="0"/>
          <w:numId w:val="30"/>
        </w:numPr>
        <w:jc w:val="both"/>
        <w:rPr>
          <w:sz w:val="22"/>
        </w:rPr>
      </w:pPr>
      <w:r w:rsidRPr="00AF43A6">
        <w:rPr>
          <w:sz w:val="22"/>
        </w:rPr>
        <w:t>Adres zonodig corrigeren.</w:t>
      </w:r>
    </w:p>
    <w:p w:rsidR="007A5F02" w:rsidRDefault="007A5F02" w:rsidP="00683684">
      <w:pPr>
        <w:jc w:val="both"/>
      </w:pPr>
    </w:p>
    <w:p w:rsidR="00683684" w:rsidRDefault="006C2F6A" w:rsidP="00683684">
      <w:pPr>
        <w:jc w:val="both"/>
      </w:pPr>
      <w:r>
        <w:t xml:space="preserve">Uit het resultaat van het onderzoek kan blijken </w:t>
      </w:r>
      <w:r w:rsidR="00683684">
        <w:t xml:space="preserve">dat het opgegeven adres niet met een </w:t>
      </w:r>
      <w:r w:rsidR="00A9420C">
        <w:t>adresseerbaar object in de BAG</w:t>
      </w:r>
      <w:r w:rsidR="00683684">
        <w:t xml:space="preserve"> kan corres</w:t>
      </w:r>
      <w:r w:rsidR="00683684">
        <w:softHyphen/>
        <w:t>pon</w:t>
      </w:r>
      <w:r w:rsidR="00683684">
        <w:softHyphen/>
        <w:t>de</w:t>
      </w:r>
      <w:r w:rsidR="00683684">
        <w:softHyphen/>
        <w:t>ren en als locatie</w:t>
      </w:r>
      <w:r w:rsidR="00B83D96">
        <w:t>be</w:t>
      </w:r>
      <w:r w:rsidR="00683684">
        <w:t>schrijving moet wor</w:t>
      </w:r>
      <w:r w:rsidR="00683684">
        <w:softHyphen/>
        <w:t xml:space="preserve">den opgevat. </w:t>
      </w:r>
      <w:r>
        <w:t>In dat geval wordt h</w:t>
      </w:r>
      <w:r w:rsidR="00683684">
        <w:t>et adres in de GBA uit onderzoek gehaald</w:t>
      </w:r>
      <w:r w:rsidR="004A7E12">
        <w:t xml:space="preserve">, </w:t>
      </w:r>
      <w:r w:rsidR="00A9420C">
        <w:t xml:space="preserve">wordt </w:t>
      </w:r>
      <w:r>
        <w:t xml:space="preserve">het </w:t>
      </w:r>
      <w:r w:rsidR="004A7E12">
        <w:t xml:space="preserve">gecorrigeerd en </w:t>
      </w:r>
      <w:r w:rsidR="00A9420C">
        <w:t>als locatiebeschrijving</w:t>
      </w:r>
      <w:r w:rsidR="003C2DBA">
        <w:t xml:space="preserve"> in de GBA opgenomen</w:t>
      </w:r>
      <w:r w:rsidR="00683684">
        <w:t>:</w:t>
      </w:r>
    </w:p>
    <w:p w:rsidR="00A9420C" w:rsidRDefault="00683684" w:rsidP="00683684">
      <w:pPr>
        <w:pStyle w:val="Lijstalinea"/>
        <w:numPr>
          <w:ilvl w:val="0"/>
          <w:numId w:val="30"/>
        </w:numPr>
        <w:jc w:val="both"/>
        <w:rPr>
          <w:sz w:val="22"/>
        </w:rPr>
      </w:pPr>
      <w:r w:rsidRPr="00AF43A6">
        <w:rPr>
          <w:sz w:val="22"/>
        </w:rPr>
        <w:t>Adres uit onderzoek halen.</w:t>
      </w:r>
    </w:p>
    <w:p w:rsidR="00683684" w:rsidRPr="00AF43A6" w:rsidRDefault="00A9420C" w:rsidP="00683684">
      <w:pPr>
        <w:pStyle w:val="Lijstalinea"/>
        <w:numPr>
          <w:ilvl w:val="0"/>
          <w:numId w:val="30"/>
        </w:numPr>
        <w:jc w:val="both"/>
        <w:rPr>
          <w:sz w:val="22"/>
        </w:rPr>
      </w:pPr>
      <w:r>
        <w:rPr>
          <w:sz w:val="22"/>
        </w:rPr>
        <w:t>Adres als locatiebeschrijving opnemen.</w:t>
      </w:r>
    </w:p>
    <w:p w:rsidR="00683684" w:rsidRDefault="00683684" w:rsidP="00683684">
      <w:pPr>
        <w:tabs>
          <w:tab w:val="left" w:pos="1619"/>
        </w:tabs>
        <w:jc w:val="both"/>
      </w:pPr>
      <w:r>
        <w:tab/>
      </w:r>
    </w:p>
    <w:p w:rsidR="00683684" w:rsidRPr="00F13B7F" w:rsidRDefault="0005018D" w:rsidP="00F13B7F">
      <w:pPr>
        <w:pStyle w:val="Kop2"/>
      </w:pPr>
      <w:bookmarkStart w:id="13" w:name="_Toc161406700"/>
      <w:r>
        <w:t>Processtappen</w:t>
      </w:r>
      <w:r w:rsidR="00683684" w:rsidRPr="00F13B7F">
        <w:t xml:space="preserve"> ‘Opvoeren mutaties’ en ‘Signalen verwerken’</w:t>
      </w:r>
      <w:bookmarkEnd w:id="13"/>
    </w:p>
    <w:p w:rsidR="00683684" w:rsidRDefault="00683684" w:rsidP="00683684">
      <w:pPr>
        <w:jc w:val="both"/>
      </w:pPr>
      <w:r>
        <w:t xml:space="preserve">Gedurende de levenscyclus van BAG-objecten vinden er mutaties plaats die gevolgen kunnen hebben voor de GBA (‘spontane meldingen’) en andere met de BAG verbonden registraties. Voor de GBA zijn alleen mutaties voor verblijfplaatsen </w:t>
      </w:r>
      <w:r w:rsidR="004552AE">
        <w:t xml:space="preserve">van belang </w:t>
      </w:r>
      <w:r>
        <w:t>(de adres</w:t>
      </w:r>
      <w:r>
        <w:softHyphen/>
        <w:t>seer</w:t>
      </w:r>
      <w:r>
        <w:softHyphen/>
        <w:t>bare objec</w:t>
      </w:r>
      <w:r>
        <w:softHyphen/>
        <w:t>ten: ver</w:t>
      </w:r>
      <w:r>
        <w:softHyphen/>
        <w:t>blijfs</w:t>
      </w:r>
      <w:r>
        <w:softHyphen/>
        <w:t>objecten, stand</w:t>
      </w:r>
      <w:r>
        <w:softHyphen/>
        <w:t>plaat</w:t>
      </w:r>
      <w:r>
        <w:softHyphen/>
        <w:t>sen en ligplaatsen) en de daaraan ver</w:t>
      </w:r>
      <w:r>
        <w:softHyphen/>
        <w:t>bonden adressen (bestaande uit woonplaatsen, openbare ruim</w:t>
      </w:r>
      <w:r>
        <w:softHyphen/>
        <w:t>ten en num</w:t>
      </w:r>
      <w:r>
        <w:softHyphen/>
        <w:t>mer</w:t>
      </w:r>
      <w:r>
        <w:softHyphen/>
      </w:r>
      <w:r>
        <w:softHyphen/>
        <w:t>aan</w:t>
      </w:r>
      <w:r>
        <w:softHyphen/>
        <w:t>dui</w:t>
      </w:r>
      <w:r>
        <w:softHyphen/>
        <w:t>din</w:t>
      </w:r>
      <w:r>
        <w:softHyphen/>
        <w:t xml:space="preserve">gen). </w:t>
      </w:r>
    </w:p>
    <w:p w:rsidR="00683684" w:rsidRDefault="00683684" w:rsidP="00683684">
      <w:pPr>
        <w:jc w:val="both"/>
      </w:pPr>
      <w:r>
        <w:t>In de volgende vier gevallen kunnen er gevolgen voor de GBA zijn:</w:t>
      </w:r>
    </w:p>
    <w:p w:rsidR="00683684" w:rsidRPr="008E1712" w:rsidRDefault="00683684" w:rsidP="00683684">
      <w:pPr>
        <w:pStyle w:val="Lijstalinea"/>
        <w:numPr>
          <w:ilvl w:val="0"/>
          <w:numId w:val="6"/>
        </w:numPr>
        <w:jc w:val="both"/>
        <w:rPr>
          <w:sz w:val="22"/>
        </w:rPr>
      </w:pPr>
      <w:r w:rsidRPr="008E1712">
        <w:rPr>
          <w:sz w:val="22"/>
        </w:rPr>
        <w:t xml:space="preserve">Het </w:t>
      </w:r>
      <w:r w:rsidR="00C1623A" w:rsidRPr="008E1712">
        <w:rPr>
          <w:sz w:val="22"/>
        </w:rPr>
        <w:t xml:space="preserve">in de BAG </w:t>
      </w:r>
      <w:r w:rsidR="00C1623A">
        <w:rPr>
          <w:sz w:val="22"/>
        </w:rPr>
        <w:t xml:space="preserve">opnemen </w:t>
      </w:r>
      <w:r w:rsidRPr="008E1712">
        <w:rPr>
          <w:sz w:val="22"/>
        </w:rPr>
        <w:t xml:space="preserve">van een adresseerbaar object </w:t>
      </w:r>
      <w:r w:rsidR="00C1623A">
        <w:rPr>
          <w:sz w:val="22"/>
        </w:rPr>
        <w:t>met een woonfunctie</w:t>
      </w:r>
      <w:r w:rsidRPr="008E1712">
        <w:rPr>
          <w:sz w:val="22"/>
        </w:rPr>
        <w:t>, waar</w:t>
      </w:r>
      <w:r w:rsidR="00BB3AC7">
        <w:rPr>
          <w:sz w:val="22"/>
        </w:rPr>
        <w:t>mee</w:t>
      </w:r>
      <w:r w:rsidRPr="008E1712">
        <w:rPr>
          <w:sz w:val="22"/>
        </w:rPr>
        <w:t xml:space="preserve"> het beschikbaar komt voor het inschrijven van personen in de GBA.</w:t>
      </w:r>
    </w:p>
    <w:p w:rsidR="00683684" w:rsidRPr="008E1712" w:rsidRDefault="00683684" w:rsidP="00683684">
      <w:pPr>
        <w:pStyle w:val="Lijstalinea"/>
        <w:numPr>
          <w:ilvl w:val="0"/>
          <w:numId w:val="6"/>
        </w:numPr>
        <w:jc w:val="both"/>
        <w:rPr>
          <w:sz w:val="22"/>
        </w:rPr>
      </w:pPr>
      <w:r w:rsidRPr="008E1712">
        <w:rPr>
          <w:sz w:val="22"/>
        </w:rPr>
        <w:t>Het wijzigen van de gegevens van adresseerbare objecten, waaruit eventueel gevolgen in de GBA voortvloeien.</w:t>
      </w:r>
    </w:p>
    <w:p w:rsidR="00683684" w:rsidRPr="008E1712" w:rsidRDefault="00683684" w:rsidP="00683684">
      <w:pPr>
        <w:pStyle w:val="Lijstalinea"/>
        <w:numPr>
          <w:ilvl w:val="0"/>
          <w:numId w:val="6"/>
        </w:numPr>
        <w:jc w:val="both"/>
        <w:rPr>
          <w:sz w:val="22"/>
        </w:rPr>
      </w:pPr>
      <w:r w:rsidRPr="008E1712">
        <w:rPr>
          <w:sz w:val="22"/>
        </w:rPr>
        <w:t xml:space="preserve">Het afvoeren van adresseerbare objecten </w:t>
      </w:r>
      <w:r w:rsidR="002F05DF">
        <w:rPr>
          <w:sz w:val="22"/>
        </w:rPr>
        <w:t>uit</w:t>
      </w:r>
      <w:r w:rsidRPr="008E1712">
        <w:rPr>
          <w:sz w:val="22"/>
        </w:rPr>
        <w:t xml:space="preserve"> de BAG, waarbij gecontroleerd moet worden of er op die adressen personen ingeschreven staan.</w:t>
      </w:r>
    </w:p>
    <w:p w:rsidR="00683684" w:rsidRPr="008E1712" w:rsidRDefault="00683684" w:rsidP="00683684">
      <w:pPr>
        <w:pStyle w:val="Lijstalinea"/>
        <w:numPr>
          <w:ilvl w:val="0"/>
          <w:numId w:val="6"/>
        </w:numPr>
        <w:jc w:val="both"/>
        <w:rPr>
          <w:sz w:val="22"/>
        </w:rPr>
      </w:pPr>
      <w:r w:rsidRPr="008E1712">
        <w:rPr>
          <w:sz w:val="22"/>
        </w:rPr>
        <w:t>Het wijzigen van de gegevens van openbare ruimten en woonplaatsen.</w:t>
      </w:r>
    </w:p>
    <w:p w:rsidR="00683684" w:rsidRDefault="00683684" w:rsidP="00683684">
      <w:pPr>
        <w:jc w:val="both"/>
      </w:pPr>
    </w:p>
    <w:p w:rsidR="00683684" w:rsidRDefault="00683684" w:rsidP="00683684">
      <w:pPr>
        <w:jc w:val="both"/>
      </w:pPr>
      <w:r>
        <w:t xml:space="preserve">Deze vier gevallen vormen in </w:t>
      </w:r>
      <w:r w:rsidR="005645D0">
        <w:t>de</w:t>
      </w:r>
      <w:r>
        <w:t xml:space="preserve"> BAG-proces</w:t>
      </w:r>
      <w:r w:rsidR="005645D0">
        <w:t>stap</w:t>
      </w:r>
      <w:r>
        <w:t xml:space="preserve"> ‘Opvoeren mutaties in de BAG’ vier onaf</w:t>
      </w:r>
      <w:r>
        <w:softHyphen/>
        <w:t>han</w:t>
      </w:r>
      <w:r>
        <w:softHyphen/>
        <w:t xml:space="preserve">kelijke </w:t>
      </w:r>
      <w:r w:rsidR="005645D0">
        <w:t>activiteiten</w:t>
      </w:r>
      <w:r>
        <w:t xml:space="preserve"> (zie figuur </w:t>
      </w:r>
      <w:r w:rsidR="00AF43A6">
        <w:t>5</w:t>
      </w:r>
      <w:r>
        <w:t>):</w:t>
      </w:r>
    </w:p>
    <w:p w:rsidR="00683684" w:rsidRPr="008E1712" w:rsidRDefault="00683684" w:rsidP="00683684">
      <w:pPr>
        <w:pStyle w:val="Lijstalinea"/>
        <w:numPr>
          <w:ilvl w:val="0"/>
          <w:numId w:val="30"/>
        </w:numPr>
        <w:jc w:val="both"/>
        <w:rPr>
          <w:sz w:val="22"/>
        </w:rPr>
      </w:pPr>
      <w:r w:rsidRPr="008E1712">
        <w:rPr>
          <w:sz w:val="22"/>
        </w:rPr>
        <w:t>Opvoeren adresseerbaar object.</w:t>
      </w:r>
    </w:p>
    <w:p w:rsidR="00683684" w:rsidRPr="008E1712" w:rsidRDefault="00683684" w:rsidP="00683684">
      <w:pPr>
        <w:pStyle w:val="Lijstalinea"/>
        <w:numPr>
          <w:ilvl w:val="0"/>
          <w:numId w:val="30"/>
        </w:numPr>
        <w:jc w:val="both"/>
        <w:rPr>
          <w:sz w:val="22"/>
        </w:rPr>
      </w:pPr>
      <w:r w:rsidRPr="008E1712">
        <w:rPr>
          <w:sz w:val="22"/>
        </w:rPr>
        <w:t>Wijzigen adresseerbaar object.</w:t>
      </w:r>
    </w:p>
    <w:p w:rsidR="00683684" w:rsidRPr="008E1712" w:rsidRDefault="00683684" w:rsidP="00683684">
      <w:pPr>
        <w:pStyle w:val="Lijstalinea"/>
        <w:numPr>
          <w:ilvl w:val="0"/>
          <w:numId w:val="30"/>
        </w:numPr>
        <w:jc w:val="both"/>
        <w:rPr>
          <w:sz w:val="22"/>
        </w:rPr>
      </w:pPr>
      <w:r w:rsidRPr="008E1712">
        <w:rPr>
          <w:sz w:val="22"/>
        </w:rPr>
        <w:t>Afvoeren adresseerbaar object.</w:t>
      </w:r>
    </w:p>
    <w:p w:rsidR="00683684" w:rsidRPr="008E1712" w:rsidRDefault="00683684" w:rsidP="00683684">
      <w:pPr>
        <w:pStyle w:val="Lijstalinea"/>
        <w:numPr>
          <w:ilvl w:val="0"/>
          <w:numId w:val="30"/>
        </w:numPr>
        <w:jc w:val="both"/>
        <w:rPr>
          <w:sz w:val="22"/>
        </w:rPr>
      </w:pPr>
      <w:r w:rsidRPr="008E1712">
        <w:rPr>
          <w:sz w:val="22"/>
        </w:rPr>
        <w:t>Wijzigen openbare ruimte of woonplaats.</w:t>
      </w:r>
    </w:p>
    <w:p w:rsidR="00683684" w:rsidRDefault="00683684" w:rsidP="00683684">
      <w:pPr>
        <w:jc w:val="both"/>
      </w:pPr>
    </w:p>
    <w:p w:rsidR="00683684" w:rsidRDefault="00526D16" w:rsidP="00683684">
      <w:pPr>
        <w:jc w:val="both"/>
      </w:pPr>
      <w:r>
        <w:rPr>
          <w:noProof/>
          <w:lang w:val="en-US" w:eastAsia="nl-NL"/>
        </w:rPr>
        <w:drawing>
          <wp:inline distT="0" distB="0" distL="0" distR="0">
            <wp:extent cx="5760720" cy="3327570"/>
            <wp:effectExtent l="25400" t="0" r="5080" b="0"/>
            <wp:docPr id="18"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760720" cy="3327570"/>
                    </a:xfrm>
                    <a:prstGeom prst="rect">
                      <a:avLst/>
                    </a:prstGeom>
                    <a:noFill/>
                    <a:ln w="9525">
                      <a:noFill/>
                      <a:miter lim="800000"/>
                      <a:headEnd/>
                      <a:tailEnd/>
                    </a:ln>
                  </pic:spPr>
                </pic:pic>
              </a:graphicData>
            </a:graphic>
          </wp:inline>
        </w:drawing>
      </w:r>
    </w:p>
    <w:p w:rsidR="00683684" w:rsidRDefault="00683684" w:rsidP="00683684">
      <w:pPr>
        <w:jc w:val="both"/>
        <w:rPr>
          <w:b/>
        </w:rPr>
      </w:pPr>
      <w:r>
        <w:rPr>
          <w:b/>
        </w:rPr>
        <w:t xml:space="preserve">Figuur </w:t>
      </w:r>
      <w:r w:rsidR="00AF43A6">
        <w:rPr>
          <w:b/>
        </w:rPr>
        <w:t>5</w:t>
      </w:r>
      <w:r>
        <w:rPr>
          <w:b/>
        </w:rPr>
        <w:t>, Proces</w:t>
      </w:r>
      <w:r w:rsidR="0005018D">
        <w:rPr>
          <w:b/>
        </w:rPr>
        <w:t>stappen</w:t>
      </w:r>
      <w:r>
        <w:rPr>
          <w:b/>
        </w:rPr>
        <w:t xml:space="preserve"> Opvoeren mutaties </w:t>
      </w:r>
      <w:r w:rsidR="0005018D">
        <w:rPr>
          <w:b/>
        </w:rPr>
        <w:t xml:space="preserve">in de BAG </w:t>
      </w:r>
      <w:r>
        <w:rPr>
          <w:b/>
        </w:rPr>
        <w:t xml:space="preserve">en Signalen </w:t>
      </w:r>
      <w:r w:rsidR="0005018D">
        <w:rPr>
          <w:b/>
        </w:rPr>
        <w:t xml:space="preserve">uit de BAG </w:t>
      </w:r>
      <w:r>
        <w:rPr>
          <w:b/>
        </w:rPr>
        <w:t>verwerken</w:t>
      </w:r>
    </w:p>
    <w:p w:rsidR="00683684" w:rsidRPr="00D5777A" w:rsidRDefault="00683684" w:rsidP="00683684">
      <w:pPr>
        <w:keepNext/>
        <w:jc w:val="both"/>
        <w:rPr>
          <w:b/>
        </w:rPr>
      </w:pPr>
      <w:r>
        <w:rPr>
          <w:b/>
        </w:rPr>
        <w:t xml:space="preserve">1. </w:t>
      </w:r>
      <w:r w:rsidRPr="00D5777A">
        <w:rPr>
          <w:b/>
        </w:rPr>
        <w:t>Opvoeren adresseerbaar object</w:t>
      </w:r>
    </w:p>
    <w:p w:rsidR="00FE6E3C" w:rsidRDefault="00683684" w:rsidP="00683684">
      <w:pPr>
        <w:jc w:val="both"/>
      </w:pPr>
      <w:r>
        <w:t>Bij het ‘Opvoeren adresseerbaar object’ worden de adresgegevens (en de bijbehorende iden</w:t>
      </w:r>
      <w:r w:rsidR="008E1712">
        <w:softHyphen/>
      </w:r>
      <w:r>
        <w:t>tifi</w:t>
      </w:r>
      <w:r w:rsidR="008E1712">
        <w:softHyphen/>
      </w:r>
      <w:r>
        <w:t>catie</w:t>
      </w:r>
      <w:r w:rsidR="00BB3AC7">
        <w:t>code</w:t>
      </w:r>
      <w:r>
        <w:t xml:space="preserve">s) uit de BAG aan de GBA doorgegeven. </w:t>
      </w:r>
      <w:r w:rsidR="00340D52">
        <w:t>Adresseerbare objecten</w:t>
      </w:r>
      <w:r>
        <w:t xml:space="preserve"> ontstaan bij het verlenen van een vergunning voor de bouw van een pand en de daarin aanwezige verblijfs</w:t>
      </w:r>
      <w:r>
        <w:softHyphen/>
        <w:t>objec</w:t>
      </w:r>
      <w:r>
        <w:softHyphen/>
        <w:t xml:space="preserve">ten of bij het benoemen van een standplaats of ligplaats. Het adres is vastgelegd in een nummerbesluit. </w:t>
      </w:r>
    </w:p>
    <w:p w:rsidR="00683684" w:rsidRDefault="00FE6E3C" w:rsidP="00683684">
      <w:pPr>
        <w:jc w:val="both"/>
      </w:pPr>
      <w:r>
        <w:t>I</w:t>
      </w:r>
      <w:r w:rsidR="00683684">
        <w:t xml:space="preserve">n de GBA </w:t>
      </w:r>
      <w:r>
        <w:t xml:space="preserve">komt </w:t>
      </w:r>
      <w:r w:rsidR="00683684">
        <w:t>het adres beschikbaar voor het inschrij</w:t>
      </w:r>
      <w:r w:rsidR="00683684">
        <w:softHyphen/>
        <w:t xml:space="preserve">ven van personen </w:t>
      </w:r>
      <w:r w:rsidR="00633FA9">
        <w:t>zodra de status van het adresseerbaar object aangeeft dat het een woonfunctie heeft en h</w:t>
      </w:r>
      <w:r w:rsidR="009F1B8B">
        <w:t>et beschikbaar is voor bewoning (i</w:t>
      </w:r>
      <w:r w:rsidR="006A5EA3">
        <w:t xml:space="preserve">n de bouwfase komt het pas beschikbaar </w:t>
      </w:r>
      <w:r w:rsidR="009F1B8B">
        <w:t>bij de ‘</w:t>
      </w:r>
      <w:r w:rsidR="009F1B8B">
        <w:rPr>
          <w:noProof/>
        </w:rPr>
        <w:t>Melding gebruiksgereed’).</w:t>
      </w:r>
      <w:r w:rsidR="009F1B8B">
        <w:t xml:space="preserve"> Deze beschikbaarheid wordt bepaald </w:t>
      </w:r>
      <w:r w:rsidR="005B5150">
        <w:t>in</w:t>
      </w:r>
      <w:r w:rsidR="00683684">
        <w:t xml:space="preserve"> </w:t>
      </w:r>
      <w:r>
        <w:t xml:space="preserve">de </w:t>
      </w:r>
      <w:r w:rsidR="005B5150">
        <w:t>activiteit</w:t>
      </w:r>
      <w:r w:rsidR="00683684">
        <w:t>:</w:t>
      </w:r>
    </w:p>
    <w:p w:rsidR="00683684" w:rsidRPr="00AF43A6" w:rsidRDefault="00683684" w:rsidP="00683684">
      <w:pPr>
        <w:pStyle w:val="Lijstalinea"/>
        <w:numPr>
          <w:ilvl w:val="0"/>
          <w:numId w:val="30"/>
        </w:numPr>
        <w:jc w:val="both"/>
        <w:rPr>
          <w:sz w:val="22"/>
        </w:rPr>
      </w:pPr>
      <w:r w:rsidRPr="00AF43A6">
        <w:rPr>
          <w:sz w:val="22"/>
        </w:rPr>
        <w:t>Overnemen adresseerbaar object voor inschrijvingen.</w:t>
      </w:r>
    </w:p>
    <w:p w:rsidR="009F1B8B" w:rsidRDefault="009F1B8B" w:rsidP="00683684">
      <w:pPr>
        <w:jc w:val="both"/>
      </w:pPr>
    </w:p>
    <w:p w:rsidR="00683684" w:rsidRDefault="002C311F" w:rsidP="00683684">
      <w:pPr>
        <w:jc w:val="both"/>
      </w:pPr>
      <w:r>
        <w:t>Of dit gevolgen heeft voor de GBA, hangt af van de manier waarop de gemeente de gegevens voor de GBA bijhoudt. Als er (in het GBA-domein) een bestand wordt bijgehouden voor het raad</w:t>
      </w:r>
      <w:r>
        <w:softHyphen/>
        <w:t>ple</w:t>
      </w:r>
      <w:r>
        <w:softHyphen/>
        <w:t>gen van up-to-date BAG-gegevens</w:t>
      </w:r>
      <w:r w:rsidR="00321716">
        <w:t>,</w:t>
      </w:r>
      <w:r>
        <w:t xml:space="preserve"> zal dit door het overnemen van het adresseerbare object </w:t>
      </w:r>
      <w:r w:rsidR="00E4212D">
        <w:t xml:space="preserve">en mutaties van de status van het object </w:t>
      </w:r>
      <w:r>
        <w:t>worden bijge</w:t>
      </w:r>
      <w:r w:rsidR="00E4212D">
        <w:softHyphen/>
      </w:r>
      <w:r>
        <w:t>werkt.</w:t>
      </w:r>
      <w:r w:rsidR="00E4212D">
        <w:t xml:space="preserve"> Als pas bij een feitelijke aangifte de BAG geraadpleegd wordt om het (adres van het) adresseerbare object over te nemen en de status te controleren, hoeft er </w:t>
      </w:r>
      <w:r w:rsidR="00A51009">
        <w:t>vooralsnog niets met de melding uit de BAG te gebeuren.</w:t>
      </w:r>
    </w:p>
    <w:p w:rsidR="00683684" w:rsidRPr="00D5777A" w:rsidRDefault="00683684" w:rsidP="00683684">
      <w:pPr>
        <w:jc w:val="both"/>
        <w:rPr>
          <w:b/>
        </w:rPr>
      </w:pPr>
      <w:r>
        <w:rPr>
          <w:b/>
        </w:rPr>
        <w:t xml:space="preserve">2. </w:t>
      </w:r>
      <w:r w:rsidRPr="00D5777A">
        <w:rPr>
          <w:b/>
        </w:rPr>
        <w:t>Wijzigen adresseerbaar object</w:t>
      </w:r>
    </w:p>
    <w:p w:rsidR="001E299F" w:rsidRDefault="00663A76" w:rsidP="00683684">
      <w:pPr>
        <w:jc w:val="both"/>
      </w:pPr>
      <w:r>
        <w:t>H</w:t>
      </w:r>
      <w:r w:rsidR="00683684">
        <w:t xml:space="preserve">et ‘Wijzigen adresseerbaar object’ </w:t>
      </w:r>
      <w:r w:rsidR="003D5F9E">
        <w:t>leidt tot</w:t>
      </w:r>
      <w:r w:rsidR="00683684">
        <w:t xml:space="preserve"> </w:t>
      </w:r>
      <w:r w:rsidR="00147A54">
        <w:t>de volgende</w:t>
      </w:r>
      <w:r w:rsidR="00683684">
        <w:t xml:space="preserve"> varianten </w:t>
      </w:r>
      <w:r w:rsidR="001E299F">
        <w:t>voor de verwerking in de GBA:</w:t>
      </w:r>
    </w:p>
    <w:p w:rsidR="001E299F" w:rsidRDefault="001E299F" w:rsidP="001E299F">
      <w:pPr>
        <w:pStyle w:val="Lijstalinea"/>
        <w:numPr>
          <w:ilvl w:val="0"/>
          <w:numId w:val="3"/>
        </w:numPr>
        <w:jc w:val="both"/>
        <w:rPr>
          <w:sz w:val="22"/>
        </w:rPr>
      </w:pPr>
      <w:r>
        <w:rPr>
          <w:sz w:val="22"/>
        </w:rPr>
        <w:lastRenderedPageBreak/>
        <w:t xml:space="preserve">Er zijn </w:t>
      </w:r>
      <w:r w:rsidRPr="00440320">
        <w:rPr>
          <w:i/>
          <w:sz w:val="22"/>
        </w:rPr>
        <w:t>geen gevolgen</w:t>
      </w:r>
      <w:r>
        <w:rPr>
          <w:sz w:val="22"/>
        </w:rPr>
        <w:t xml:space="preserve"> voor de GBA, omdat alleen</w:t>
      </w:r>
      <w:r w:rsidR="00F93316">
        <w:rPr>
          <w:sz w:val="22"/>
        </w:rPr>
        <w:t xml:space="preserve"> </w:t>
      </w:r>
      <w:r>
        <w:rPr>
          <w:sz w:val="22"/>
        </w:rPr>
        <w:t>kenmerken van het adresseerbare object zijn gewijzigd, zoals bij kleine verbouwing of het beschikbaar komen van de ingemeten geo</w:t>
      </w:r>
      <w:r>
        <w:rPr>
          <w:sz w:val="22"/>
        </w:rPr>
        <w:softHyphen/>
        <w:t>me</w:t>
      </w:r>
      <w:r>
        <w:rPr>
          <w:sz w:val="22"/>
        </w:rPr>
        <w:softHyphen/>
        <w:t>trie.</w:t>
      </w:r>
    </w:p>
    <w:p w:rsidR="00216CA4" w:rsidRDefault="00216CA4" w:rsidP="001E299F">
      <w:pPr>
        <w:pStyle w:val="Lijstalinea"/>
        <w:numPr>
          <w:ilvl w:val="0"/>
          <w:numId w:val="3"/>
        </w:numPr>
        <w:jc w:val="both"/>
        <w:rPr>
          <w:sz w:val="22"/>
        </w:rPr>
      </w:pPr>
      <w:r>
        <w:rPr>
          <w:sz w:val="22"/>
        </w:rPr>
        <w:t>Er is een adreswijziging door een hernummering, waarbij de burg</w:t>
      </w:r>
      <w:r w:rsidR="0098153C">
        <w:rPr>
          <w:sz w:val="22"/>
        </w:rPr>
        <w:t>er niet daadwerkelijk ver</w:t>
      </w:r>
      <w:r w:rsidR="005A366D">
        <w:rPr>
          <w:sz w:val="22"/>
        </w:rPr>
        <w:softHyphen/>
      </w:r>
      <w:r w:rsidR="0098153C">
        <w:rPr>
          <w:sz w:val="22"/>
        </w:rPr>
        <w:t xml:space="preserve">huist: </w:t>
      </w:r>
      <w:r>
        <w:rPr>
          <w:sz w:val="22"/>
        </w:rPr>
        <w:t>een zogen</w:t>
      </w:r>
      <w:r w:rsidR="0098153C">
        <w:rPr>
          <w:sz w:val="22"/>
        </w:rPr>
        <w:t xml:space="preserve">aamde </w:t>
      </w:r>
      <w:r w:rsidR="0098153C" w:rsidRPr="00440320">
        <w:rPr>
          <w:i/>
          <w:sz w:val="22"/>
        </w:rPr>
        <w:t>infrastructurele wijzi</w:t>
      </w:r>
      <w:r w:rsidR="00440320" w:rsidRPr="00440320">
        <w:rPr>
          <w:i/>
          <w:sz w:val="22"/>
        </w:rPr>
        <w:t>gi</w:t>
      </w:r>
      <w:r w:rsidR="0098153C" w:rsidRPr="00440320">
        <w:rPr>
          <w:i/>
          <w:sz w:val="22"/>
        </w:rPr>
        <w:t>ng</w:t>
      </w:r>
      <w:r>
        <w:rPr>
          <w:sz w:val="22"/>
        </w:rPr>
        <w:t>.</w:t>
      </w:r>
      <w:r w:rsidR="00943922">
        <w:rPr>
          <w:sz w:val="22"/>
        </w:rPr>
        <w:t xml:space="preserve"> Hierbij verandert de identificatiecode van de verblijfplaats niet.</w:t>
      </w:r>
    </w:p>
    <w:p w:rsidR="001E299F" w:rsidRPr="001E299F" w:rsidRDefault="00440320" w:rsidP="001E299F">
      <w:pPr>
        <w:pStyle w:val="Lijstalinea"/>
        <w:numPr>
          <w:ilvl w:val="0"/>
          <w:numId w:val="3"/>
        </w:numPr>
        <w:jc w:val="both"/>
        <w:rPr>
          <w:sz w:val="22"/>
        </w:rPr>
      </w:pPr>
      <w:r>
        <w:rPr>
          <w:sz w:val="22"/>
        </w:rPr>
        <w:t xml:space="preserve">Er is </w:t>
      </w:r>
      <w:r w:rsidRPr="00440320">
        <w:rPr>
          <w:i/>
          <w:sz w:val="22"/>
        </w:rPr>
        <w:t>onderzoek nodig</w:t>
      </w:r>
      <w:r>
        <w:rPr>
          <w:sz w:val="22"/>
        </w:rPr>
        <w:t xml:space="preserve"> om te bepalen of </w:t>
      </w:r>
      <w:r w:rsidR="00DE5875">
        <w:rPr>
          <w:sz w:val="22"/>
        </w:rPr>
        <w:t>er</w:t>
      </w:r>
      <w:r>
        <w:rPr>
          <w:sz w:val="22"/>
        </w:rPr>
        <w:t xml:space="preserve"> </w:t>
      </w:r>
      <w:r w:rsidR="00DE5875">
        <w:rPr>
          <w:sz w:val="22"/>
        </w:rPr>
        <w:t>bij wijziging van de identificatiecodes van het ver</w:t>
      </w:r>
      <w:r w:rsidR="00466F0F">
        <w:rPr>
          <w:sz w:val="22"/>
        </w:rPr>
        <w:softHyphen/>
      </w:r>
      <w:r w:rsidR="00DE5875">
        <w:rPr>
          <w:sz w:val="22"/>
        </w:rPr>
        <w:t>blijfs</w:t>
      </w:r>
      <w:r w:rsidR="00466F0F">
        <w:rPr>
          <w:sz w:val="22"/>
        </w:rPr>
        <w:softHyphen/>
      </w:r>
      <w:r w:rsidR="00DE5875">
        <w:rPr>
          <w:sz w:val="22"/>
        </w:rPr>
        <w:t>object en de nummer</w:t>
      </w:r>
      <w:r w:rsidR="00DE5875">
        <w:rPr>
          <w:sz w:val="22"/>
        </w:rPr>
        <w:softHyphen/>
        <w:t xml:space="preserve">aanduiding gevolgen zijn </w:t>
      </w:r>
      <w:r>
        <w:rPr>
          <w:sz w:val="22"/>
        </w:rPr>
        <w:t xml:space="preserve">voor de op die plaats ingeschreven </w:t>
      </w:r>
      <w:r w:rsidR="00B51ED8">
        <w:rPr>
          <w:sz w:val="22"/>
        </w:rPr>
        <w:t>personen</w:t>
      </w:r>
      <w:r w:rsidR="00DF3AF4">
        <w:rPr>
          <w:sz w:val="22"/>
        </w:rPr>
        <w:t xml:space="preserve">. </w:t>
      </w:r>
    </w:p>
    <w:p w:rsidR="00466F0F" w:rsidRDefault="00466F0F" w:rsidP="00683684">
      <w:pPr>
        <w:jc w:val="both"/>
      </w:pPr>
    </w:p>
    <w:p w:rsidR="00466F0F" w:rsidRDefault="00BD44A5" w:rsidP="00683684">
      <w:pPr>
        <w:jc w:val="both"/>
      </w:pPr>
      <w:r>
        <w:t xml:space="preserve">Wat de </w:t>
      </w:r>
      <w:r w:rsidR="00682A6B">
        <w:t xml:space="preserve">aard van de </w:t>
      </w:r>
      <w:r w:rsidR="00466F0F">
        <w:t xml:space="preserve">gevolgen </w:t>
      </w:r>
      <w:r w:rsidR="00F900C1">
        <w:t xml:space="preserve">voor de GBA zullen zijn </w:t>
      </w:r>
      <w:r w:rsidR="00466F0F">
        <w:t xml:space="preserve">wordt </w:t>
      </w:r>
      <w:r w:rsidR="00682A6B">
        <w:t>bepaald</w:t>
      </w:r>
      <w:r w:rsidR="00466F0F">
        <w:t xml:space="preserve"> in de activiteit:</w:t>
      </w:r>
    </w:p>
    <w:p w:rsidR="001E299F" w:rsidRPr="00516EAE" w:rsidRDefault="00466F0F" w:rsidP="00516EAE">
      <w:pPr>
        <w:pStyle w:val="Lijstalinea"/>
        <w:numPr>
          <w:ilvl w:val="0"/>
          <w:numId w:val="30"/>
        </w:numPr>
        <w:jc w:val="both"/>
        <w:rPr>
          <w:sz w:val="22"/>
        </w:rPr>
      </w:pPr>
      <w:r w:rsidRPr="00516EAE">
        <w:rPr>
          <w:sz w:val="22"/>
        </w:rPr>
        <w:t>Gevolgen voor de GBA bepalen.</w:t>
      </w:r>
    </w:p>
    <w:p w:rsidR="00BD44A5" w:rsidRDefault="00BD44A5" w:rsidP="00683684">
      <w:pPr>
        <w:jc w:val="both"/>
      </w:pPr>
    </w:p>
    <w:p w:rsidR="00265059" w:rsidRDefault="00B31D17" w:rsidP="00683684">
      <w:pPr>
        <w:jc w:val="both"/>
      </w:pPr>
      <w:r>
        <w:t xml:space="preserve">Afhankelijk van </w:t>
      </w:r>
      <w:r w:rsidR="00F900C1">
        <w:t>d</w:t>
      </w:r>
      <w:r w:rsidR="001D3764">
        <w:t>i</w:t>
      </w:r>
      <w:r w:rsidR="00F900C1">
        <w:t xml:space="preserve">e aard van de gevolgen </w:t>
      </w:r>
      <w:r w:rsidR="00265059">
        <w:t>gebeurt er niets of wordt één van de volgende activiteiten uitgevoerd:</w:t>
      </w:r>
    </w:p>
    <w:p w:rsidR="00265059" w:rsidRPr="00AF43A6" w:rsidRDefault="00265059" w:rsidP="00265059">
      <w:pPr>
        <w:pStyle w:val="Lijstalinea"/>
        <w:numPr>
          <w:ilvl w:val="0"/>
          <w:numId w:val="30"/>
        </w:numPr>
        <w:jc w:val="both"/>
        <w:rPr>
          <w:sz w:val="22"/>
        </w:rPr>
      </w:pPr>
      <w:r w:rsidRPr="00AF43A6">
        <w:rPr>
          <w:sz w:val="22"/>
        </w:rPr>
        <w:t>Infrastructurele wijziging doorvoeren.</w:t>
      </w:r>
    </w:p>
    <w:p w:rsidR="00FB33F1" w:rsidRPr="00AF43A6" w:rsidRDefault="00FB33F1" w:rsidP="00FB33F1">
      <w:pPr>
        <w:pStyle w:val="Lijstalinea"/>
        <w:numPr>
          <w:ilvl w:val="0"/>
          <w:numId w:val="30"/>
        </w:numPr>
        <w:jc w:val="both"/>
        <w:rPr>
          <w:sz w:val="22"/>
        </w:rPr>
      </w:pPr>
      <w:r w:rsidRPr="00AF43A6">
        <w:rPr>
          <w:sz w:val="22"/>
        </w:rPr>
        <w:t>Onderzoek uitvoeren en zonodig corrigeren.</w:t>
      </w:r>
    </w:p>
    <w:p w:rsidR="00B31D17" w:rsidRDefault="00B31D17" w:rsidP="00683684">
      <w:pPr>
        <w:jc w:val="both"/>
      </w:pPr>
    </w:p>
    <w:p w:rsidR="00B31D17" w:rsidRDefault="00DA254B" w:rsidP="006A7867">
      <w:pPr>
        <w:keepNext/>
        <w:jc w:val="both"/>
      </w:pPr>
      <w:r>
        <w:t xml:space="preserve">In het laatste geval zijn er </w:t>
      </w:r>
      <w:r w:rsidR="00FB7F1E">
        <w:t xml:space="preserve">in het bijzonder </w:t>
      </w:r>
      <w:r>
        <w:t>twee varianten te onderscheiden</w:t>
      </w:r>
      <w:r w:rsidR="004A79B8">
        <w:t>:</w:t>
      </w:r>
    </w:p>
    <w:p w:rsidR="00393D89" w:rsidRPr="00AF43A6" w:rsidRDefault="00393D89" w:rsidP="00393D89">
      <w:pPr>
        <w:pStyle w:val="Lijstalinea"/>
        <w:numPr>
          <w:ilvl w:val="0"/>
          <w:numId w:val="7"/>
        </w:numPr>
        <w:jc w:val="both"/>
        <w:rPr>
          <w:sz w:val="22"/>
        </w:rPr>
      </w:pPr>
      <w:r>
        <w:rPr>
          <w:sz w:val="22"/>
        </w:rPr>
        <w:t>B</w:t>
      </w:r>
      <w:r w:rsidRPr="00AF43A6">
        <w:rPr>
          <w:sz w:val="22"/>
        </w:rPr>
        <w:t>ij samen</w:t>
      </w:r>
      <w:r w:rsidRPr="00AF43A6">
        <w:rPr>
          <w:sz w:val="22"/>
        </w:rPr>
        <w:softHyphen/>
        <w:t>voegingen of splitsingen van verblijfsobjecten</w:t>
      </w:r>
      <w:r>
        <w:rPr>
          <w:sz w:val="22"/>
        </w:rPr>
        <w:t xml:space="preserve"> </w:t>
      </w:r>
      <w:r w:rsidRPr="00AF43A6">
        <w:rPr>
          <w:sz w:val="22"/>
        </w:rPr>
        <w:t>worden de bestaande verblijfs</w:t>
      </w:r>
      <w:r w:rsidRPr="00AF43A6">
        <w:rPr>
          <w:sz w:val="22"/>
        </w:rPr>
        <w:softHyphen/>
      </w:r>
      <w:r w:rsidRPr="00AF43A6">
        <w:rPr>
          <w:sz w:val="22"/>
        </w:rPr>
        <w:softHyphen/>
        <w:t>objec</w:t>
      </w:r>
      <w:r w:rsidRPr="00AF43A6">
        <w:rPr>
          <w:sz w:val="22"/>
        </w:rPr>
        <w:softHyphen/>
        <w:t>ten afgevoerd en worden er nieuwe opgevoerd. Ieder met een eigen, eventue</w:t>
      </w:r>
      <w:r w:rsidR="009973CD">
        <w:rPr>
          <w:sz w:val="22"/>
        </w:rPr>
        <w:t>el nieu</w:t>
      </w:r>
      <w:r w:rsidR="009973CD">
        <w:rPr>
          <w:sz w:val="22"/>
        </w:rPr>
        <w:softHyphen/>
        <w:t>we, num</w:t>
      </w:r>
      <w:r w:rsidR="008367C4">
        <w:rPr>
          <w:sz w:val="22"/>
        </w:rPr>
        <w:softHyphen/>
      </w:r>
      <w:r w:rsidR="009973CD">
        <w:rPr>
          <w:sz w:val="22"/>
        </w:rPr>
        <w:t>mer</w:t>
      </w:r>
      <w:r w:rsidR="009973CD">
        <w:rPr>
          <w:sz w:val="22"/>
        </w:rPr>
        <w:softHyphen/>
        <w:t>aan</w:t>
      </w:r>
      <w:r w:rsidR="009973CD">
        <w:rPr>
          <w:sz w:val="22"/>
        </w:rPr>
        <w:softHyphen/>
        <w:t>duiding, waardoor d</w:t>
      </w:r>
      <w:r w:rsidR="00390FB0" w:rsidRPr="00AF43A6">
        <w:rPr>
          <w:sz w:val="22"/>
        </w:rPr>
        <w:t xml:space="preserve">e ‘benaming’ </w:t>
      </w:r>
      <w:r w:rsidR="005F602E">
        <w:rPr>
          <w:sz w:val="22"/>
        </w:rPr>
        <w:t xml:space="preserve">(de </w:t>
      </w:r>
      <w:r w:rsidR="005C09FF">
        <w:rPr>
          <w:sz w:val="22"/>
        </w:rPr>
        <w:t>adres</w:t>
      </w:r>
      <w:r w:rsidR="005F602E">
        <w:rPr>
          <w:sz w:val="22"/>
        </w:rPr>
        <w:t>aanduiding van de verblijfsobjecten)</w:t>
      </w:r>
      <w:r w:rsidR="00390FB0" w:rsidRPr="00AF43A6">
        <w:rPr>
          <w:sz w:val="22"/>
        </w:rPr>
        <w:t xml:space="preserve"> </w:t>
      </w:r>
      <w:r w:rsidR="000755DB">
        <w:rPr>
          <w:sz w:val="22"/>
        </w:rPr>
        <w:t>is veran</w:t>
      </w:r>
      <w:r w:rsidR="005C09FF">
        <w:rPr>
          <w:sz w:val="22"/>
        </w:rPr>
        <w:softHyphen/>
      </w:r>
      <w:r w:rsidR="000755DB">
        <w:rPr>
          <w:sz w:val="22"/>
        </w:rPr>
        <w:t>derd</w:t>
      </w:r>
      <w:r w:rsidR="00390FB0" w:rsidRPr="00AF43A6">
        <w:rPr>
          <w:sz w:val="22"/>
        </w:rPr>
        <w:t xml:space="preserve">. </w:t>
      </w:r>
      <w:r w:rsidR="0065417B">
        <w:rPr>
          <w:sz w:val="22"/>
        </w:rPr>
        <w:t>Bij een splitsing moet u</w:t>
      </w:r>
      <w:r w:rsidRPr="00AF43A6">
        <w:rPr>
          <w:sz w:val="22"/>
        </w:rPr>
        <w:t xml:space="preserve">it onderzoek </w:t>
      </w:r>
      <w:r>
        <w:rPr>
          <w:sz w:val="22"/>
        </w:rPr>
        <w:t>door</w:t>
      </w:r>
      <w:r w:rsidRPr="00AF43A6">
        <w:rPr>
          <w:sz w:val="22"/>
        </w:rPr>
        <w:t xml:space="preserve"> de GBA blij</w:t>
      </w:r>
      <w:r w:rsidRPr="00AF43A6">
        <w:rPr>
          <w:sz w:val="22"/>
        </w:rPr>
        <w:softHyphen/>
        <w:t xml:space="preserve">ken </w:t>
      </w:r>
      <w:r w:rsidR="005F602E">
        <w:rPr>
          <w:sz w:val="22"/>
        </w:rPr>
        <w:t>binnen welk verblijfs</w:t>
      </w:r>
      <w:r w:rsidR="0065417B">
        <w:rPr>
          <w:sz w:val="22"/>
        </w:rPr>
        <w:softHyphen/>
      </w:r>
      <w:r w:rsidR="005F602E">
        <w:rPr>
          <w:sz w:val="22"/>
        </w:rPr>
        <w:t>object</w:t>
      </w:r>
      <w:r w:rsidRPr="00AF43A6">
        <w:rPr>
          <w:sz w:val="22"/>
        </w:rPr>
        <w:t xml:space="preserve"> de in</w:t>
      </w:r>
      <w:r w:rsidRPr="00AF43A6">
        <w:rPr>
          <w:sz w:val="22"/>
        </w:rPr>
        <w:softHyphen/>
        <w:t>ge</w:t>
      </w:r>
      <w:r w:rsidRPr="00AF43A6">
        <w:rPr>
          <w:sz w:val="22"/>
        </w:rPr>
        <w:softHyphen/>
        <w:t>schre</w:t>
      </w:r>
      <w:r w:rsidR="005C09FF">
        <w:rPr>
          <w:sz w:val="22"/>
        </w:rPr>
        <w:softHyphen/>
      </w:r>
      <w:r w:rsidRPr="00AF43A6">
        <w:rPr>
          <w:sz w:val="22"/>
        </w:rPr>
        <w:t>ven per</w:t>
      </w:r>
      <w:r w:rsidR="006955EA">
        <w:rPr>
          <w:sz w:val="22"/>
        </w:rPr>
        <w:softHyphen/>
      </w:r>
      <w:r w:rsidRPr="00AF43A6">
        <w:rPr>
          <w:sz w:val="22"/>
        </w:rPr>
        <w:t>so</w:t>
      </w:r>
      <w:r w:rsidR="006955EA">
        <w:rPr>
          <w:sz w:val="22"/>
        </w:rPr>
        <w:softHyphen/>
      </w:r>
      <w:r w:rsidRPr="00AF43A6">
        <w:rPr>
          <w:sz w:val="22"/>
        </w:rPr>
        <w:t>nen inmiddels gehuisvest zijn</w:t>
      </w:r>
      <w:r w:rsidR="00C17F0D">
        <w:rPr>
          <w:sz w:val="22"/>
        </w:rPr>
        <w:t xml:space="preserve"> en/of welke gegevens moeten worden aan</w:t>
      </w:r>
      <w:r w:rsidR="00C17F0D">
        <w:rPr>
          <w:sz w:val="22"/>
        </w:rPr>
        <w:softHyphen/>
        <w:t>ge</w:t>
      </w:r>
      <w:r w:rsidR="00C17F0D">
        <w:rPr>
          <w:sz w:val="22"/>
        </w:rPr>
        <w:softHyphen/>
        <w:t>past</w:t>
      </w:r>
      <w:r w:rsidRPr="00AF43A6">
        <w:rPr>
          <w:sz w:val="22"/>
        </w:rPr>
        <w:t>.</w:t>
      </w:r>
      <w:r w:rsidR="0065417B">
        <w:rPr>
          <w:sz w:val="22"/>
        </w:rPr>
        <w:t xml:space="preserve"> Bij een samenvoeging is duidelijk waar de personen gehuisvest zijn</w:t>
      </w:r>
      <w:r w:rsidR="00E93F08">
        <w:rPr>
          <w:sz w:val="22"/>
        </w:rPr>
        <w:t>, maar moeten wel gegevens worden aangepast</w:t>
      </w:r>
      <w:r w:rsidR="0065417B">
        <w:rPr>
          <w:sz w:val="22"/>
        </w:rPr>
        <w:t>.</w:t>
      </w:r>
    </w:p>
    <w:p w:rsidR="00683684" w:rsidRPr="00AF43A6" w:rsidRDefault="00806E89" w:rsidP="00683684">
      <w:pPr>
        <w:pStyle w:val="Lijstalinea"/>
        <w:numPr>
          <w:ilvl w:val="0"/>
          <w:numId w:val="7"/>
        </w:numPr>
        <w:jc w:val="both"/>
        <w:rPr>
          <w:sz w:val="22"/>
        </w:rPr>
      </w:pPr>
      <w:r>
        <w:rPr>
          <w:sz w:val="22"/>
        </w:rPr>
        <w:t>B</w:t>
      </w:r>
      <w:r w:rsidRPr="00AF43A6">
        <w:rPr>
          <w:sz w:val="22"/>
        </w:rPr>
        <w:t xml:space="preserve">ij sloop van een pand en herbouw </w:t>
      </w:r>
      <w:r w:rsidR="00441FA6">
        <w:rPr>
          <w:sz w:val="22"/>
        </w:rPr>
        <w:t>op de</w:t>
      </w:r>
      <w:r>
        <w:rPr>
          <w:sz w:val="22"/>
        </w:rPr>
        <w:t xml:space="preserve">zelfde plaats </w:t>
      </w:r>
      <w:r w:rsidRPr="00AF43A6">
        <w:rPr>
          <w:sz w:val="22"/>
        </w:rPr>
        <w:t>of bi</w:t>
      </w:r>
      <w:r>
        <w:rPr>
          <w:sz w:val="22"/>
        </w:rPr>
        <w:t>j een ingrijpende ver</w:t>
      </w:r>
      <w:r>
        <w:rPr>
          <w:sz w:val="22"/>
        </w:rPr>
        <w:softHyphen/>
        <w:t>bou</w:t>
      </w:r>
      <w:r>
        <w:rPr>
          <w:sz w:val="22"/>
        </w:rPr>
        <w:softHyphen/>
        <w:t xml:space="preserve">wing verandert </w:t>
      </w:r>
      <w:r w:rsidR="00BB57D7">
        <w:rPr>
          <w:sz w:val="22"/>
        </w:rPr>
        <w:t xml:space="preserve">er niets aan </w:t>
      </w:r>
      <w:r>
        <w:rPr>
          <w:sz w:val="22"/>
        </w:rPr>
        <w:t xml:space="preserve">de </w:t>
      </w:r>
      <w:r w:rsidR="00683684" w:rsidRPr="00AF43A6">
        <w:rPr>
          <w:sz w:val="22"/>
        </w:rPr>
        <w:t xml:space="preserve">‘benaming’ </w:t>
      </w:r>
      <w:r w:rsidR="006955EA">
        <w:rPr>
          <w:sz w:val="22"/>
        </w:rPr>
        <w:t xml:space="preserve">(de </w:t>
      </w:r>
      <w:r w:rsidR="00BB57D7">
        <w:rPr>
          <w:sz w:val="22"/>
        </w:rPr>
        <w:t>adres</w:t>
      </w:r>
      <w:r w:rsidR="006955EA">
        <w:rPr>
          <w:sz w:val="22"/>
        </w:rPr>
        <w:t xml:space="preserve">aanduiding van </w:t>
      </w:r>
      <w:r w:rsidR="00BB57D7">
        <w:rPr>
          <w:sz w:val="22"/>
        </w:rPr>
        <w:t>de</w:t>
      </w:r>
      <w:r w:rsidR="006955EA">
        <w:rPr>
          <w:sz w:val="22"/>
        </w:rPr>
        <w:t xml:space="preserve"> verblijfsobject</w:t>
      </w:r>
      <w:r w:rsidR="00BB57D7">
        <w:rPr>
          <w:sz w:val="22"/>
        </w:rPr>
        <w:t>en</w:t>
      </w:r>
      <w:r w:rsidR="006955EA">
        <w:rPr>
          <w:sz w:val="22"/>
        </w:rPr>
        <w:t>)</w:t>
      </w:r>
      <w:r w:rsidR="006955EA" w:rsidRPr="00AF43A6">
        <w:rPr>
          <w:sz w:val="22"/>
        </w:rPr>
        <w:t xml:space="preserve"> </w:t>
      </w:r>
      <w:r w:rsidR="005060E6">
        <w:rPr>
          <w:sz w:val="22"/>
        </w:rPr>
        <w:t xml:space="preserve">als </w:t>
      </w:r>
      <w:r w:rsidR="007C1D08">
        <w:rPr>
          <w:sz w:val="22"/>
        </w:rPr>
        <w:t>de</w:t>
      </w:r>
      <w:r w:rsidR="00D97AD5">
        <w:rPr>
          <w:sz w:val="22"/>
        </w:rPr>
        <w:softHyphen/>
      </w:r>
      <w:r w:rsidR="005060E6">
        <w:rPr>
          <w:sz w:val="22"/>
        </w:rPr>
        <w:t>zelf</w:t>
      </w:r>
      <w:r w:rsidR="00D97AD5">
        <w:rPr>
          <w:sz w:val="22"/>
        </w:rPr>
        <w:softHyphen/>
      </w:r>
      <w:r w:rsidR="005060E6">
        <w:rPr>
          <w:sz w:val="22"/>
        </w:rPr>
        <w:t>de ‘</w:t>
      </w:r>
      <w:r w:rsidR="007C1D08" w:rsidRPr="00AF43A6">
        <w:rPr>
          <w:sz w:val="22"/>
        </w:rPr>
        <w:t xml:space="preserve">benaming’ </w:t>
      </w:r>
      <w:r w:rsidR="005060E6">
        <w:rPr>
          <w:sz w:val="22"/>
        </w:rPr>
        <w:t xml:space="preserve">voor </w:t>
      </w:r>
      <w:r w:rsidR="007C1D08">
        <w:rPr>
          <w:sz w:val="22"/>
        </w:rPr>
        <w:t>de</w:t>
      </w:r>
      <w:r w:rsidR="005060E6">
        <w:rPr>
          <w:sz w:val="22"/>
        </w:rPr>
        <w:t xml:space="preserve"> nieuwe verblijfsobject</w:t>
      </w:r>
      <w:r w:rsidR="007C1D08">
        <w:rPr>
          <w:sz w:val="22"/>
        </w:rPr>
        <w:t>en</w:t>
      </w:r>
      <w:r w:rsidR="005060E6">
        <w:rPr>
          <w:sz w:val="22"/>
        </w:rPr>
        <w:t xml:space="preserve"> gebruikt wordt</w:t>
      </w:r>
      <w:r w:rsidR="006955EA">
        <w:rPr>
          <w:sz w:val="22"/>
        </w:rPr>
        <w:t>.</w:t>
      </w:r>
      <w:r w:rsidR="00683684" w:rsidRPr="00AF43A6">
        <w:rPr>
          <w:sz w:val="22"/>
        </w:rPr>
        <w:t xml:space="preserve"> </w:t>
      </w:r>
      <w:r w:rsidR="00BB57D7">
        <w:rPr>
          <w:sz w:val="22"/>
        </w:rPr>
        <w:t>Wel</w:t>
      </w:r>
      <w:r w:rsidR="00683684" w:rsidRPr="00AF43A6">
        <w:rPr>
          <w:sz w:val="22"/>
        </w:rPr>
        <w:t xml:space="preserve"> worden be</w:t>
      </w:r>
      <w:r w:rsidR="007C1D08">
        <w:rPr>
          <w:sz w:val="22"/>
        </w:rPr>
        <w:softHyphen/>
      </w:r>
      <w:r w:rsidR="00683684" w:rsidRPr="00AF43A6">
        <w:rPr>
          <w:sz w:val="22"/>
        </w:rPr>
        <w:t>staan</w:t>
      </w:r>
      <w:r w:rsidR="002F6F34">
        <w:rPr>
          <w:sz w:val="22"/>
        </w:rPr>
        <w:softHyphen/>
      </w:r>
      <w:r w:rsidR="000E0268">
        <w:rPr>
          <w:sz w:val="22"/>
        </w:rPr>
        <w:softHyphen/>
      </w:r>
      <w:r w:rsidR="00683684" w:rsidRPr="00AF43A6">
        <w:rPr>
          <w:sz w:val="22"/>
        </w:rPr>
        <w:t xml:space="preserve">de </w:t>
      </w:r>
      <w:r w:rsidR="00902A77">
        <w:rPr>
          <w:sz w:val="22"/>
        </w:rPr>
        <w:t>verblijfs</w:t>
      </w:r>
      <w:r w:rsidR="00902A77">
        <w:rPr>
          <w:sz w:val="22"/>
        </w:rPr>
        <w:softHyphen/>
        <w:t>objec</w:t>
      </w:r>
      <w:r w:rsidR="00902A77">
        <w:rPr>
          <w:sz w:val="22"/>
        </w:rPr>
        <w:softHyphen/>
        <w:t>ten</w:t>
      </w:r>
      <w:r w:rsidR="00784F80">
        <w:rPr>
          <w:sz w:val="22"/>
        </w:rPr>
        <w:t xml:space="preserve"> afgevoerd, </w:t>
      </w:r>
      <w:r w:rsidR="00683684" w:rsidRPr="00AF43A6">
        <w:rPr>
          <w:sz w:val="22"/>
        </w:rPr>
        <w:t>wor</w:t>
      </w:r>
      <w:r w:rsidR="00683684" w:rsidRPr="00AF43A6">
        <w:rPr>
          <w:sz w:val="22"/>
        </w:rPr>
        <w:softHyphen/>
        <w:t>den er nieuwe verblijfs</w:t>
      </w:r>
      <w:r w:rsidR="00683684" w:rsidRPr="00AF43A6">
        <w:rPr>
          <w:sz w:val="22"/>
        </w:rPr>
        <w:softHyphen/>
        <w:t>objec</w:t>
      </w:r>
      <w:r w:rsidR="00683684" w:rsidRPr="00AF43A6">
        <w:rPr>
          <w:sz w:val="22"/>
        </w:rPr>
        <w:softHyphen/>
        <w:t>ten opge</w:t>
      </w:r>
      <w:r w:rsidR="00037801">
        <w:rPr>
          <w:sz w:val="22"/>
        </w:rPr>
        <w:softHyphen/>
      </w:r>
      <w:r w:rsidR="00683684" w:rsidRPr="00AF43A6">
        <w:rPr>
          <w:sz w:val="22"/>
        </w:rPr>
        <w:t>voerd</w:t>
      </w:r>
      <w:r w:rsidR="002F6F34">
        <w:rPr>
          <w:sz w:val="22"/>
        </w:rPr>
        <w:t xml:space="preserve"> </w:t>
      </w:r>
      <w:r w:rsidR="00784F80">
        <w:rPr>
          <w:sz w:val="22"/>
        </w:rPr>
        <w:t>en ko</w:t>
      </w:r>
      <w:r w:rsidR="000E0268">
        <w:rPr>
          <w:sz w:val="22"/>
        </w:rPr>
        <w:softHyphen/>
      </w:r>
      <w:r w:rsidR="00784F80">
        <w:rPr>
          <w:sz w:val="22"/>
        </w:rPr>
        <w:t xml:space="preserve">men er nieuwe identificatiecodes </w:t>
      </w:r>
      <w:r w:rsidR="002F6F34">
        <w:rPr>
          <w:sz w:val="22"/>
        </w:rPr>
        <w:t>in de BAG</w:t>
      </w:r>
      <w:r w:rsidR="008B4727">
        <w:rPr>
          <w:sz w:val="22"/>
        </w:rPr>
        <w:t>, die door de GBA worden overgenomen</w:t>
      </w:r>
      <w:r w:rsidR="00683684" w:rsidRPr="00AF43A6">
        <w:rPr>
          <w:sz w:val="22"/>
        </w:rPr>
        <w:t xml:space="preserve">. Tussen sloop </w:t>
      </w:r>
      <w:r w:rsidR="00683684" w:rsidRPr="00CA5972">
        <w:rPr>
          <w:sz w:val="22"/>
        </w:rPr>
        <w:t>en ‘</w:t>
      </w:r>
      <w:r w:rsidR="00592983">
        <w:rPr>
          <w:noProof/>
          <w:sz w:val="22"/>
        </w:rPr>
        <w:t>M</w:t>
      </w:r>
      <w:r w:rsidR="00CA5972" w:rsidRPr="00CA5972">
        <w:rPr>
          <w:noProof/>
          <w:sz w:val="22"/>
        </w:rPr>
        <w:t>elding gebruiksgereed</w:t>
      </w:r>
      <w:r w:rsidR="00CA5972">
        <w:rPr>
          <w:sz w:val="22"/>
        </w:rPr>
        <w:t xml:space="preserve">’ </w:t>
      </w:r>
      <w:r w:rsidR="00B93223">
        <w:rPr>
          <w:sz w:val="22"/>
        </w:rPr>
        <w:t xml:space="preserve">van de nieuwbouw </w:t>
      </w:r>
      <w:r w:rsidR="00525B83">
        <w:rPr>
          <w:sz w:val="22"/>
        </w:rPr>
        <w:t>zal</w:t>
      </w:r>
      <w:r w:rsidR="00683684" w:rsidRPr="00AF43A6">
        <w:rPr>
          <w:sz w:val="22"/>
        </w:rPr>
        <w:t xml:space="preserve"> er sprake zijn van het ontbreken van </w:t>
      </w:r>
      <w:r w:rsidR="00525B83">
        <w:rPr>
          <w:sz w:val="22"/>
        </w:rPr>
        <w:t>verblijfsobjecten</w:t>
      </w:r>
      <w:r w:rsidR="00683684" w:rsidRPr="00AF43A6">
        <w:rPr>
          <w:sz w:val="22"/>
        </w:rPr>
        <w:t xml:space="preserve"> waar perso</w:t>
      </w:r>
      <w:r w:rsidR="00683684" w:rsidRPr="00AF43A6">
        <w:rPr>
          <w:sz w:val="22"/>
        </w:rPr>
        <w:softHyphen/>
        <w:t>nen ingeschreven</w:t>
      </w:r>
      <w:r w:rsidR="00AD02D8" w:rsidRPr="00AD02D8">
        <w:rPr>
          <w:sz w:val="22"/>
        </w:rPr>
        <w:t xml:space="preserve"> </w:t>
      </w:r>
      <w:r w:rsidR="00AD02D8" w:rsidRPr="00AF43A6">
        <w:rPr>
          <w:sz w:val="22"/>
        </w:rPr>
        <w:t xml:space="preserve">kunnen </w:t>
      </w:r>
      <w:r w:rsidR="00AD02D8">
        <w:rPr>
          <w:sz w:val="22"/>
        </w:rPr>
        <w:t>staan</w:t>
      </w:r>
      <w:r w:rsidR="00683684" w:rsidRPr="00AF43A6">
        <w:rPr>
          <w:sz w:val="22"/>
        </w:rPr>
        <w:t>.</w:t>
      </w:r>
      <w:r w:rsidR="00DD750D">
        <w:rPr>
          <w:sz w:val="22"/>
        </w:rPr>
        <w:t xml:space="preserve"> Als de bewoners tussen</w:t>
      </w:r>
      <w:r w:rsidR="008B4727">
        <w:rPr>
          <w:sz w:val="22"/>
        </w:rPr>
        <w:softHyphen/>
      </w:r>
      <w:r w:rsidR="00DD750D">
        <w:rPr>
          <w:sz w:val="22"/>
        </w:rPr>
        <w:t>tijds in een caravan op het bouw</w:t>
      </w:r>
      <w:r w:rsidR="006701A4">
        <w:rPr>
          <w:sz w:val="22"/>
        </w:rPr>
        <w:softHyphen/>
      </w:r>
      <w:r w:rsidR="00DD750D">
        <w:rPr>
          <w:sz w:val="22"/>
        </w:rPr>
        <w:t xml:space="preserve">terrein gaan wonen, zijn ze </w:t>
      </w:r>
      <w:r w:rsidR="004E48CA">
        <w:rPr>
          <w:sz w:val="22"/>
        </w:rPr>
        <w:t>formeel</w:t>
      </w:r>
      <w:r w:rsidR="00DD750D">
        <w:rPr>
          <w:sz w:val="22"/>
        </w:rPr>
        <w:t xml:space="preserve"> verplicht </w:t>
      </w:r>
      <w:r w:rsidR="001722EB">
        <w:rPr>
          <w:sz w:val="22"/>
        </w:rPr>
        <w:t xml:space="preserve">(afhankelijk van de duur tussen sloop en herbouw) </w:t>
      </w:r>
      <w:r w:rsidR="00DD750D">
        <w:rPr>
          <w:sz w:val="22"/>
        </w:rPr>
        <w:t xml:space="preserve">een </w:t>
      </w:r>
      <w:r w:rsidR="006701A4">
        <w:rPr>
          <w:sz w:val="22"/>
        </w:rPr>
        <w:t xml:space="preserve">standplaats </w:t>
      </w:r>
      <w:r w:rsidR="00441FA6">
        <w:rPr>
          <w:sz w:val="22"/>
        </w:rPr>
        <w:t>aan te vragen (met de</w:t>
      </w:r>
      <w:r w:rsidR="006701A4">
        <w:rPr>
          <w:sz w:val="22"/>
        </w:rPr>
        <w:t>zelfde adres</w:t>
      </w:r>
      <w:r w:rsidR="001722EB">
        <w:rPr>
          <w:sz w:val="22"/>
        </w:rPr>
        <w:softHyphen/>
      </w:r>
      <w:r w:rsidR="006701A4">
        <w:rPr>
          <w:sz w:val="22"/>
        </w:rPr>
        <w:t>aan</w:t>
      </w:r>
      <w:r w:rsidR="001722EB">
        <w:rPr>
          <w:sz w:val="22"/>
        </w:rPr>
        <w:softHyphen/>
      </w:r>
      <w:r w:rsidR="006701A4">
        <w:rPr>
          <w:sz w:val="22"/>
        </w:rPr>
        <w:t>dui</w:t>
      </w:r>
      <w:r w:rsidR="001722EB">
        <w:rPr>
          <w:sz w:val="22"/>
        </w:rPr>
        <w:softHyphen/>
      </w:r>
      <w:r w:rsidR="006701A4">
        <w:rPr>
          <w:sz w:val="22"/>
        </w:rPr>
        <w:t>ding</w:t>
      </w:r>
      <w:r w:rsidR="00BF124B">
        <w:rPr>
          <w:sz w:val="22"/>
        </w:rPr>
        <w:t xml:space="preserve"> als het oorspronkelijke verblijfs</w:t>
      </w:r>
      <w:r w:rsidR="008B4727">
        <w:rPr>
          <w:sz w:val="22"/>
        </w:rPr>
        <w:softHyphen/>
      </w:r>
      <w:r w:rsidR="00BF124B">
        <w:rPr>
          <w:sz w:val="22"/>
        </w:rPr>
        <w:t>ob</w:t>
      </w:r>
      <w:r w:rsidR="00040D4F">
        <w:rPr>
          <w:sz w:val="22"/>
        </w:rPr>
        <w:softHyphen/>
      </w:r>
      <w:r w:rsidR="00BF124B">
        <w:rPr>
          <w:sz w:val="22"/>
        </w:rPr>
        <w:t>ject</w:t>
      </w:r>
      <w:r w:rsidR="006701A4">
        <w:rPr>
          <w:sz w:val="22"/>
        </w:rPr>
        <w:t>)</w:t>
      </w:r>
      <w:r w:rsidR="00BF124B">
        <w:rPr>
          <w:sz w:val="22"/>
        </w:rPr>
        <w:t xml:space="preserve"> en formeel te verhuizen van verblijf</w:t>
      </w:r>
      <w:r w:rsidR="008B4727">
        <w:rPr>
          <w:sz w:val="22"/>
        </w:rPr>
        <w:t>s</w:t>
      </w:r>
      <w:r w:rsidR="00BF124B">
        <w:rPr>
          <w:sz w:val="22"/>
        </w:rPr>
        <w:t>object naar standplaats en later naar het nieuwe ver</w:t>
      </w:r>
      <w:r w:rsidR="00441FA6">
        <w:rPr>
          <w:sz w:val="22"/>
        </w:rPr>
        <w:softHyphen/>
      </w:r>
      <w:r w:rsidR="00BF124B">
        <w:rPr>
          <w:sz w:val="22"/>
        </w:rPr>
        <w:t>blijfs</w:t>
      </w:r>
      <w:r w:rsidR="00441FA6">
        <w:rPr>
          <w:sz w:val="22"/>
        </w:rPr>
        <w:softHyphen/>
      </w:r>
      <w:r w:rsidR="00BF124B">
        <w:rPr>
          <w:sz w:val="22"/>
        </w:rPr>
        <w:t>object</w:t>
      </w:r>
      <w:r w:rsidR="006701A4">
        <w:rPr>
          <w:sz w:val="22"/>
        </w:rPr>
        <w:t xml:space="preserve">. </w:t>
      </w:r>
    </w:p>
    <w:p w:rsidR="00683684" w:rsidRDefault="00683684" w:rsidP="00683684">
      <w:pPr>
        <w:jc w:val="both"/>
      </w:pPr>
    </w:p>
    <w:p w:rsidR="00683684" w:rsidRPr="00D5777A" w:rsidRDefault="00683684" w:rsidP="00683684">
      <w:pPr>
        <w:jc w:val="both"/>
        <w:rPr>
          <w:b/>
        </w:rPr>
      </w:pPr>
      <w:r>
        <w:rPr>
          <w:b/>
        </w:rPr>
        <w:t xml:space="preserve">3. </w:t>
      </w:r>
      <w:r w:rsidRPr="00D5777A">
        <w:rPr>
          <w:b/>
        </w:rPr>
        <w:t>Afvoeren adresseerbaar object</w:t>
      </w:r>
    </w:p>
    <w:p w:rsidR="00211ABC" w:rsidRDefault="00683684" w:rsidP="00683684">
      <w:pPr>
        <w:jc w:val="both"/>
      </w:pPr>
      <w:r>
        <w:t>Met het afvoeren van adresseerbare objecten uit de BAG moeten de gevolgen voor de GBA onder</w:t>
      </w:r>
      <w:r w:rsidR="00920608">
        <w:softHyphen/>
      </w:r>
      <w:r>
        <w:t>zocht worden (feitelijk verdwijnen de objecten niet uit de BAG, maar de status wordt veran</w:t>
      </w:r>
      <w:r w:rsidR="00F1552A">
        <w:softHyphen/>
      </w:r>
      <w:r>
        <w:t xml:space="preserve">derd in niet-actief door de ‘datum einde geldigheid’ in te vullen). </w:t>
      </w:r>
      <w:r w:rsidR="00F1552A">
        <w:t>Vanaf het moment van afvoeren zijn de</w:t>
      </w:r>
      <w:r>
        <w:t xml:space="preserve"> </w:t>
      </w:r>
      <w:r w:rsidR="00D97AD5">
        <w:t>verblijfplaatsen</w:t>
      </w:r>
      <w:r>
        <w:t xml:space="preserve"> niet meer beschikbaar voor</w:t>
      </w:r>
      <w:r w:rsidR="007A7B44">
        <w:t xml:space="preserve"> bewoning en dus voor</w:t>
      </w:r>
      <w:r>
        <w:t xml:space="preserve"> inschrij</w:t>
      </w:r>
      <w:r>
        <w:softHyphen/>
        <w:t>vingen</w:t>
      </w:r>
      <w:r w:rsidR="007A7B44">
        <w:t xml:space="preserve"> in de GBA</w:t>
      </w:r>
      <w:r>
        <w:t xml:space="preserve">. </w:t>
      </w:r>
      <w:r w:rsidR="00211ABC">
        <w:t xml:space="preserve">Als er </w:t>
      </w:r>
      <w:r w:rsidR="00211ABC">
        <w:lastRenderedPageBreak/>
        <w:t xml:space="preserve">toch nog personen op die plaatsen ingeschreven staan, moeten de persoonslijsten ‘in onderzoek’ worden geplaatst </w:t>
      </w:r>
      <w:r w:rsidR="00762F67">
        <w:t xml:space="preserve">en </w:t>
      </w:r>
      <w:r w:rsidR="00211ABC">
        <w:t>moet o</w:t>
      </w:r>
      <w:r>
        <w:t>nder</w:t>
      </w:r>
      <w:r w:rsidR="00D97AD5">
        <w:softHyphen/>
      </w:r>
      <w:r>
        <w:t xml:space="preserve">zocht </w:t>
      </w:r>
      <w:r w:rsidR="00F1552A">
        <w:t xml:space="preserve">worden </w:t>
      </w:r>
      <w:r>
        <w:t xml:space="preserve">wat er met de gegevens </w:t>
      </w:r>
      <w:r w:rsidR="00211ABC">
        <w:t xml:space="preserve">in de GBA </w:t>
      </w:r>
      <w:r>
        <w:t>moet gebeu</w:t>
      </w:r>
      <w:r>
        <w:softHyphen/>
        <w:t>ren</w:t>
      </w:r>
      <w:r w:rsidR="00211ABC">
        <w:t>:</w:t>
      </w:r>
    </w:p>
    <w:p w:rsidR="00683684" w:rsidRPr="00AF43A6" w:rsidRDefault="00683684" w:rsidP="00683684">
      <w:pPr>
        <w:pStyle w:val="Lijstalinea"/>
        <w:numPr>
          <w:ilvl w:val="0"/>
          <w:numId w:val="30"/>
        </w:numPr>
        <w:jc w:val="both"/>
        <w:rPr>
          <w:sz w:val="22"/>
        </w:rPr>
      </w:pPr>
      <w:r w:rsidRPr="00AF43A6">
        <w:rPr>
          <w:sz w:val="22"/>
        </w:rPr>
        <w:t>Afvoeren adresseerbaar object voor inschrijvingen.</w:t>
      </w:r>
    </w:p>
    <w:p w:rsidR="00683684" w:rsidRPr="00AF43A6" w:rsidRDefault="00683684" w:rsidP="00683684">
      <w:pPr>
        <w:pStyle w:val="Lijstalinea"/>
        <w:numPr>
          <w:ilvl w:val="0"/>
          <w:numId w:val="30"/>
        </w:numPr>
        <w:jc w:val="both"/>
        <w:rPr>
          <w:sz w:val="22"/>
        </w:rPr>
      </w:pPr>
      <w:r w:rsidRPr="00AF43A6">
        <w:rPr>
          <w:sz w:val="22"/>
        </w:rPr>
        <w:t>Betrokken personen ‘in onderzoek’ plaatsen.</w:t>
      </w:r>
    </w:p>
    <w:p w:rsidR="00683684" w:rsidRPr="00AF43A6" w:rsidRDefault="00683684" w:rsidP="00683684">
      <w:pPr>
        <w:pStyle w:val="Lijstalinea"/>
        <w:numPr>
          <w:ilvl w:val="0"/>
          <w:numId w:val="30"/>
        </w:numPr>
        <w:jc w:val="both"/>
        <w:rPr>
          <w:sz w:val="22"/>
        </w:rPr>
      </w:pPr>
      <w:r w:rsidRPr="00AF43A6">
        <w:rPr>
          <w:sz w:val="22"/>
        </w:rPr>
        <w:t>Onderzoek uitvoeren en zonodig corrigeren.</w:t>
      </w:r>
    </w:p>
    <w:p w:rsidR="00343871" w:rsidRDefault="00343871" w:rsidP="00683684">
      <w:pPr>
        <w:jc w:val="both"/>
      </w:pPr>
    </w:p>
    <w:p w:rsidR="006B58DA" w:rsidRDefault="00343871" w:rsidP="00683684">
      <w:pPr>
        <w:jc w:val="both"/>
      </w:pPr>
      <w:r>
        <w:t>Het hangt van de inrichtingsvorm bij de gemeente af of het ‘</w:t>
      </w:r>
      <w:r w:rsidRPr="00AF43A6">
        <w:t>Afvoeren adresseerbaar object voor inschrijvingen</w:t>
      </w:r>
      <w:r>
        <w:t xml:space="preserve">’ daadwerkelijk actie vereist. Dit is alleen het geval als er binnen het GBA-domein een </w:t>
      </w:r>
      <w:r w:rsidR="00375A59">
        <w:t>up-to-date</w:t>
      </w:r>
      <w:r>
        <w:t xml:space="preserve"> kopie van de BAG</w:t>
      </w:r>
      <w:r w:rsidR="00375A59">
        <w:t>-gegevens</w:t>
      </w:r>
      <w:r>
        <w:t xml:space="preserve"> wordt bijgehouden.</w:t>
      </w:r>
    </w:p>
    <w:p w:rsidR="00B735DB" w:rsidRDefault="006B58DA" w:rsidP="00683684">
      <w:pPr>
        <w:jc w:val="both"/>
      </w:pPr>
      <w:r>
        <w:t>Na een calamiteit en het geheel onbewoonbaar worden van het pand, met de daarin aanwezige verblijfsobjecten</w:t>
      </w:r>
      <w:r w:rsidR="000016ED">
        <w:t>,</w:t>
      </w:r>
      <w:r>
        <w:t xml:space="preserve"> is het duidelijk dat de bewoners elders gehuisvest worden en </w:t>
      </w:r>
      <w:r w:rsidR="000016ED">
        <w:t xml:space="preserve">de inschrijving in de GBA moet worden aangepast. Bij gedeeltelijke onbewoonbaarheid kan het leiden tot het eventueel tijdelijk buiten gebruik stellen van verblijfsobjecten. Na herstelwerkzaamheden vindt dan mogelijk herhuisvesting plaats. </w:t>
      </w:r>
      <w:r w:rsidR="00B735DB">
        <w:t>Afhankelijk van de omstandigheden en de duur van de periode tot herhuisves</w:t>
      </w:r>
      <w:r w:rsidR="00B735DB">
        <w:softHyphen/>
        <w:t>ting moet worden bepaald of de inschrijving in de GBA wordt aangepast.</w:t>
      </w:r>
    </w:p>
    <w:p w:rsidR="00683684" w:rsidRDefault="00683684" w:rsidP="00683684">
      <w:pPr>
        <w:jc w:val="both"/>
      </w:pPr>
    </w:p>
    <w:p w:rsidR="00683684" w:rsidRPr="00D5777A" w:rsidRDefault="00683684" w:rsidP="00683684">
      <w:pPr>
        <w:keepNext/>
        <w:jc w:val="both"/>
        <w:rPr>
          <w:b/>
        </w:rPr>
      </w:pPr>
      <w:r>
        <w:rPr>
          <w:b/>
        </w:rPr>
        <w:t xml:space="preserve">4. </w:t>
      </w:r>
      <w:r w:rsidRPr="00D5777A">
        <w:rPr>
          <w:b/>
        </w:rPr>
        <w:t>Wijzigen openbare ruimte of woonplaats</w:t>
      </w:r>
    </w:p>
    <w:p w:rsidR="00683684" w:rsidRDefault="00683684" w:rsidP="00683684">
      <w:pPr>
        <w:jc w:val="both"/>
      </w:pPr>
      <w:r>
        <w:t>Bij het wijzigen van openbare ruimten of woonplaatsen, zoals het veranderen van straat</w:t>
      </w:r>
      <w:r>
        <w:softHyphen/>
      </w:r>
      <w:r>
        <w:softHyphen/>
        <w:t>namen, de naam van woonplaatsen of het verleggen van de grenzen van woon</w:t>
      </w:r>
      <w:r>
        <w:softHyphen/>
        <w:t xml:space="preserve">plaatsen, </w:t>
      </w:r>
      <w:r w:rsidR="00084D64">
        <w:t>veranderen de adres</w:t>
      </w:r>
      <w:r w:rsidR="00084D64">
        <w:softHyphen/>
        <w:t xml:space="preserve">gegevens, maar blijven de bewoners gehuisvest op </w:t>
      </w:r>
      <w:r w:rsidR="008A30D8">
        <w:t>hun oorspronkelijke</w:t>
      </w:r>
      <w:r w:rsidR="00084D64">
        <w:t xml:space="preserve"> verblijfplaats</w:t>
      </w:r>
      <w:r w:rsidR="00FA7930">
        <w:t>en</w:t>
      </w:r>
      <w:r w:rsidR="00084D64">
        <w:t>. Er is dus spra</w:t>
      </w:r>
      <w:r w:rsidR="00FA7930">
        <w:softHyphen/>
      </w:r>
      <w:r w:rsidR="00084D64">
        <w:t>ke van infrastructurele wijzigingen. A</w:t>
      </w:r>
      <w:r>
        <w:t xml:space="preserve">lle getroffen adressen </w:t>
      </w:r>
      <w:r w:rsidR="00084D64">
        <w:t xml:space="preserve">worden in de GBA aangepast </w:t>
      </w:r>
      <w:r>
        <w:t xml:space="preserve">volgens de procedures voor ‘infrastructurele wijzigingen’ </w:t>
      </w:r>
      <w:r w:rsidR="009339B2">
        <w:t xml:space="preserve">door </w:t>
      </w:r>
      <w:r w:rsidR="00084D64">
        <w:t xml:space="preserve">het </w:t>
      </w:r>
      <w:r w:rsidR="009339B2">
        <w:t xml:space="preserve"> </w:t>
      </w:r>
      <w:r w:rsidR="00FA7930">
        <w:t xml:space="preserve">uitvoeren van de </w:t>
      </w:r>
      <w:r w:rsidR="009339B2">
        <w:t xml:space="preserve">volgende </w:t>
      </w:r>
      <w:r w:rsidR="00CA3782">
        <w:t>activiteit</w:t>
      </w:r>
      <w:r>
        <w:t>:</w:t>
      </w:r>
    </w:p>
    <w:p w:rsidR="00683684" w:rsidRPr="00AF43A6" w:rsidRDefault="00683684" w:rsidP="00683684">
      <w:pPr>
        <w:pStyle w:val="Lijstalinea"/>
        <w:numPr>
          <w:ilvl w:val="0"/>
          <w:numId w:val="30"/>
        </w:numPr>
        <w:jc w:val="both"/>
        <w:rPr>
          <w:sz w:val="22"/>
        </w:rPr>
      </w:pPr>
      <w:r w:rsidRPr="00AF43A6">
        <w:rPr>
          <w:sz w:val="22"/>
        </w:rPr>
        <w:t>Infrastructurele wijziging doorvoeren.</w:t>
      </w:r>
    </w:p>
    <w:p w:rsidR="00683684" w:rsidRPr="006E5E0D" w:rsidRDefault="00683684" w:rsidP="00054ED3">
      <w:pPr>
        <w:pStyle w:val="Kop1"/>
      </w:pPr>
      <w:r>
        <w:br w:type="page"/>
      </w:r>
      <w:bookmarkStart w:id="14" w:name="_Toc161406701"/>
      <w:r>
        <w:lastRenderedPageBreak/>
        <w:t>Gegevensuitwisseling en berichtenverkeer</w:t>
      </w:r>
      <w:bookmarkEnd w:id="14"/>
    </w:p>
    <w:p w:rsidR="00683684" w:rsidRDefault="00683684" w:rsidP="00683684">
      <w:pPr>
        <w:jc w:val="both"/>
      </w:pPr>
      <w:r>
        <w:t>In de processen wordt niet op voorhand rekening gehouden met de ondersteunende infor</w:t>
      </w:r>
      <w:r>
        <w:softHyphen/>
        <w:t>matie</w:t>
      </w:r>
      <w:r w:rsidR="00F1552A">
        <w:softHyphen/>
      </w:r>
      <w:r>
        <w:t>systemen en de wijze waarop die technisch worden ingevuld. Maar er is wel een verband tussen processen en informatiesystemen via de gebeurtenissen die het werken met de BAG en de GBA bepalen. Aan de proceskant moeten alle relevante gebeur</w:t>
      </w:r>
      <w:r>
        <w:softHyphen/>
      </w:r>
      <w:r>
        <w:softHyphen/>
        <w:t>tenissen in de processen worden afgewikkeld. Gebeurtenissen leiden tot het cre</w:t>
      </w:r>
      <w:r>
        <w:softHyphen/>
        <w:t xml:space="preserve">ëren, muteren of afvoeren van gegevens in de BAG- en GBA-systemen en het uitwisselen van gegevens tussen die systemen. </w:t>
      </w:r>
    </w:p>
    <w:p w:rsidR="00683684" w:rsidRDefault="00683684" w:rsidP="00683684">
      <w:pPr>
        <w:jc w:val="both"/>
      </w:pPr>
      <w:r>
        <w:t>Het gegevenstransport gebeurt door berichten tussen de systemen uit te wisselen. Voor deze berichten wordt de StUF-standaard gevolgd: het Standaard Uitwis</w:t>
      </w:r>
      <w:r>
        <w:softHyphen/>
        <w:t>se</w:t>
      </w:r>
      <w:r>
        <w:softHyphen/>
        <w:t>lingsFormaat. De benodigde berichten zijn in de BAG GBA Koppelvlakbeschrijving uitgewerkt, in over</w:t>
      </w:r>
      <w:r>
        <w:softHyphen/>
        <w:t>leg met de leveranciers van de BAG- en GBA-systemen. De leveranciers hebben hiermee de inrichting van het berichtenverkeer ont</w:t>
      </w:r>
      <w:r>
        <w:softHyphen/>
        <w:t>wikkeld of zijn hiermee bezig.</w:t>
      </w:r>
    </w:p>
    <w:p w:rsidR="00683684" w:rsidRPr="00F13B7F" w:rsidRDefault="00683684" w:rsidP="00F13B7F">
      <w:pPr>
        <w:pStyle w:val="Kop2"/>
      </w:pPr>
      <w:bookmarkStart w:id="15" w:name="_Toc161406702"/>
      <w:r w:rsidRPr="00F13B7F">
        <w:t>Gegevensuitwisseling tussen de GBA en de BAG</w:t>
      </w:r>
      <w:bookmarkEnd w:id="15"/>
    </w:p>
    <w:p w:rsidR="00D93157" w:rsidRDefault="00683684" w:rsidP="00683684">
      <w:pPr>
        <w:jc w:val="both"/>
      </w:pPr>
      <w:r>
        <w:t xml:space="preserve">In het GBA-proces wordt een aantal malen een beroep gedaan op gegevens uit de BAG. De gestippelde pijlen in de processchema’s (tussen het GBA-domein en het BAG-domein) geven aan waar </w:t>
      </w:r>
      <w:r w:rsidR="007960E2">
        <w:t xml:space="preserve">dit eventueel </w:t>
      </w:r>
      <w:r>
        <w:t xml:space="preserve">gebeurt. </w:t>
      </w:r>
      <w:r w:rsidR="00BE6EA3">
        <w:t xml:space="preserve">Of dit ook feitelijk zo gebeurt, is afhankelijk van de inrichtingsvorm van de GBA- en BAG-applicaties bij de gemeente: de GBA zou een up-to-date kopie van de BAG kunnen benaderen in plaats van de </w:t>
      </w:r>
      <w:r w:rsidR="00366AE7">
        <w:t>BAG rechtstreeks.</w:t>
      </w:r>
    </w:p>
    <w:p w:rsidR="00683684" w:rsidRDefault="00683684" w:rsidP="00683684">
      <w:pPr>
        <w:jc w:val="both"/>
      </w:pPr>
      <w:r>
        <w:t>Voor de GBA is de BAG de (authentieke) bron van adres</w:t>
      </w:r>
      <w:r>
        <w:softHyphen/>
        <w:t>gegevens, zodat de BAG als leverancier en de GBA als afnemer van deze gegevens optreedt. Vanuit de GBA kunnen actue</w:t>
      </w:r>
      <w:r>
        <w:softHyphen/>
        <w:t xml:space="preserve">le gegevens actief uit de BAG opgevraagd worden. Of de GBA kan passief wachten tot de BAG na een mutatie gegevens naar de GBA stuurt: in de GBA worden dit ‘spontane meldingen’ genoemd. </w:t>
      </w:r>
    </w:p>
    <w:p w:rsidR="00683684" w:rsidRDefault="00683684" w:rsidP="00683684">
      <w:pPr>
        <w:jc w:val="both"/>
      </w:pPr>
      <w:r>
        <w:t>De volgende situaties zijn mogelijk:</w:t>
      </w:r>
    </w:p>
    <w:p w:rsidR="00683684" w:rsidRPr="00AF43A6" w:rsidRDefault="00683684" w:rsidP="00683684">
      <w:pPr>
        <w:pStyle w:val="Lijstalinea"/>
        <w:numPr>
          <w:ilvl w:val="0"/>
          <w:numId w:val="3"/>
        </w:numPr>
        <w:jc w:val="both"/>
        <w:rPr>
          <w:sz w:val="22"/>
        </w:rPr>
      </w:pPr>
      <w:r w:rsidRPr="00AF43A6">
        <w:rPr>
          <w:sz w:val="22"/>
        </w:rPr>
        <w:t>Gegevens worden door een medewerker Burgerzaken ‘met de hand’ opgevraagd uit de BAG</w:t>
      </w:r>
      <w:r w:rsidR="00366AE7">
        <w:rPr>
          <w:sz w:val="22"/>
        </w:rPr>
        <w:t xml:space="preserve"> (of een up-to-date kopie)</w:t>
      </w:r>
      <w:r w:rsidRPr="00AF43A6">
        <w:rPr>
          <w:sz w:val="22"/>
        </w:rPr>
        <w:t>, bijvoorbeeld via een webinterface, waarmee de actuele BAG-gege</w:t>
      </w:r>
      <w:r w:rsidRPr="00AF43A6">
        <w:rPr>
          <w:sz w:val="22"/>
        </w:rPr>
        <w:softHyphen/>
        <w:t>vens bekeken kunnen worden. Dit kan altijd bij de landelijke voorziening BAG, die bij het Kadaster beschikbaar is, maar het ligt voor de hand dat de gemeente de toegang tot de eigen lokale BAG ook rechtstreeks (bijvoorbeeld via een webinter</w:t>
      </w:r>
      <w:r w:rsidRPr="00AF43A6">
        <w:rPr>
          <w:sz w:val="22"/>
        </w:rPr>
        <w:softHyphen/>
        <w:t>face) beschikbaar stelt. Het bezwaar van deze werkwijze is dat gegevens even</w:t>
      </w:r>
      <w:r w:rsidRPr="00AF43A6">
        <w:rPr>
          <w:sz w:val="22"/>
        </w:rPr>
        <w:softHyphen/>
        <w:t>tueel moeten worden overge</w:t>
      </w:r>
      <w:r w:rsidRPr="00AF43A6">
        <w:rPr>
          <w:sz w:val="22"/>
        </w:rPr>
        <w:softHyphen/>
        <w:t>typt.</w:t>
      </w:r>
    </w:p>
    <w:p w:rsidR="00366AE7" w:rsidRDefault="00683684" w:rsidP="00683684">
      <w:pPr>
        <w:pStyle w:val="Lijstalinea"/>
        <w:numPr>
          <w:ilvl w:val="0"/>
          <w:numId w:val="3"/>
        </w:numPr>
        <w:jc w:val="both"/>
        <w:rPr>
          <w:sz w:val="22"/>
        </w:rPr>
      </w:pPr>
      <w:r w:rsidRPr="00AF43A6">
        <w:rPr>
          <w:sz w:val="22"/>
        </w:rPr>
        <w:t>Gegevens worden door een GBA-toepassing rechtstreeks uit de actuele BAG (lokaal of landelijk) opgevraagd via een vraag- en antwoordbericht (in de vorm van een StUF-bericht). Uit het antwoordbe</w:t>
      </w:r>
      <w:r w:rsidRPr="00AF43A6">
        <w:rPr>
          <w:sz w:val="22"/>
        </w:rPr>
        <w:softHyphen/>
        <w:t>rich</w:t>
      </w:r>
      <w:r w:rsidRPr="00AF43A6">
        <w:rPr>
          <w:sz w:val="22"/>
        </w:rPr>
        <w:softHyphen/>
        <w:t>t kunnen gegevens geautomati</w:t>
      </w:r>
      <w:r w:rsidRPr="00AF43A6">
        <w:rPr>
          <w:sz w:val="22"/>
        </w:rPr>
        <w:softHyphen/>
        <w:t>seerd overgenomen worden, zodat de exacte inhoud van adresgegevens voor ver</w:t>
      </w:r>
      <w:r w:rsidRPr="00AF43A6">
        <w:rPr>
          <w:sz w:val="22"/>
        </w:rPr>
        <w:softHyphen/>
        <w:t>de</w:t>
      </w:r>
      <w:r w:rsidRPr="00AF43A6">
        <w:rPr>
          <w:sz w:val="22"/>
        </w:rPr>
        <w:softHyphen/>
        <w:t>re verwerking beschikbaar komt.</w:t>
      </w:r>
    </w:p>
    <w:p w:rsidR="00683684" w:rsidRPr="00AF43A6" w:rsidRDefault="00366AE7" w:rsidP="00683684">
      <w:pPr>
        <w:pStyle w:val="Lijstalinea"/>
        <w:numPr>
          <w:ilvl w:val="0"/>
          <w:numId w:val="3"/>
        </w:numPr>
        <w:jc w:val="both"/>
        <w:rPr>
          <w:sz w:val="22"/>
        </w:rPr>
      </w:pPr>
      <w:r w:rsidRPr="00AF43A6">
        <w:rPr>
          <w:sz w:val="22"/>
        </w:rPr>
        <w:t>Gegevens worden door een GBA-toepassing</w:t>
      </w:r>
      <w:r>
        <w:rPr>
          <w:sz w:val="22"/>
        </w:rPr>
        <w:t xml:space="preserve"> opgevraagd uit een up-to-date kopie van de BAG die bijvoorbeeld elke nacht wordt bijgewerkt vanuit de actuele BAG.</w:t>
      </w:r>
      <w:r w:rsidR="0041481E">
        <w:rPr>
          <w:sz w:val="22"/>
        </w:rPr>
        <w:t xml:space="preserve"> Welk type applicatie</w:t>
      </w:r>
      <w:r w:rsidR="0041481E">
        <w:rPr>
          <w:sz w:val="22"/>
        </w:rPr>
        <w:softHyphen/>
        <w:t>koppeling daarvoor wordt gebruikt is afhankelijk van de inrichtingsvorm bij de gemeente, maar het ligt voor de hand hiervoor StUF-berichten te gebruiken.</w:t>
      </w:r>
      <w:r>
        <w:rPr>
          <w:sz w:val="22"/>
        </w:rPr>
        <w:t xml:space="preserve"> </w:t>
      </w:r>
    </w:p>
    <w:p w:rsidR="00683684" w:rsidRPr="00AF43A6" w:rsidRDefault="00683684" w:rsidP="00683684">
      <w:pPr>
        <w:pStyle w:val="Lijstalinea"/>
        <w:numPr>
          <w:ilvl w:val="0"/>
          <w:numId w:val="3"/>
        </w:numPr>
        <w:jc w:val="both"/>
        <w:rPr>
          <w:sz w:val="22"/>
        </w:rPr>
      </w:pPr>
      <w:r w:rsidRPr="00AF43A6">
        <w:rPr>
          <w:sz w:val="22"/>
        </w:rPr>
        <w:t>De BAG (-toepassing) levert het resultaat van een terug</w:t>
      </w:r>
      <w:r w:rsidRPr="00AF43A6">
        <w:rPr>
          <w:sz w:val="22"/>
        </w:rPr>
        <w:softHyphen/>
        <w:t>melding of levert ten gevolge van een gebeurtenis rond één van de BAG-objecten een aantal gegevens in de vorm van een (StUF-) bericht. Deze berichten werken als een trigger voor een GBA-proces. Soms kan de bericht</w:t>
      </w:r>
      <w:r w:rsidR="0041481E">
        <w:rPr>
          <w:sz w:val="22"/>
        </w:rPr>
        <w:softHyphen/>
      </w:r>
      <w:r w:rsidRPr="00AF43A6">
        <w:rPr>
          <w:sz w:val="22"/>
        </w:rPr>
        <w:t>inhoud zonder meer in de GBA-gegevens verwerkt worden. Maar meestal zal er een beoordeling door een medewerker nodig zijn om noodzakelijke vervolg</w:t>
      </w:r>
      <w:r w:rsidRPr="00AF43A6">
        <w:rPr>
          <w:sz w:val="22"/>
        </w:rPr>
        <w:softHyphen/>
        <w:t>acti</w:t>
      </w:r>
      <w:r w:rsidRPr="00AF43A6">
        <w:rPr>
          <w:sz w:val="22"/>
        </w:rPr>
        <w:softHyphen/>
        <w:t>vi</w:t>
      </w:r>
      <w:r w:rsidRPr="00AF43A6">
        <w:rPr>
          <w:sz w:val="22"/>
        </w:rPr>
        <w:softHyphen/>
        <w:t>tei</w:t>
      </w:r>
      <w:r w:rsidRPr="00AF43A6">
        <w:rPr>
          <w:sz w:val="22"/>
        </w:rPr>
        <w:softHyphen/>
        <w:t xml:space="preserve">ten in gang te </w:t>
      </w:r>
      <w:r w:rsidRPr="00AF43A6">
        <w:rPr>
          <w:sz w:val="22"/>
        </w:rPr>
        <w:lastRenderedPageBreak/>
        <w:t>zetten. Zoals nagaan of er gevolgen zijn voor de bewoners van een verblijfplaats, waarvan de gegevens veranderen.</w:t>
      </w:r>
    </w:p>
    <w:p w:rsidR="00683684" w:rsidRPr="00806DC0" w:rsidRDefault="00683684" w:rsidP="00683684">
      <w:pPr>
        <w:jc w:val="both"/>
        <w:rPr>
          <w:sz w:val="8"/>
        </w:rPr>
      </w:pPr>
    </w:p>
    <w:p w:rsidR="00683684" w:rsidRPr="00F13B7F" w:rsidRDefault="00683684" w:rsidP="00F13B7F">
      <w:pPr>
        <w:pStyle w:val="Kop2"/>
      </w:pPr>
      <w:bookmarkStart w:id="16" w:name="_Toc161406703"/>
      <w:r w:rsidRPr="00F13B7F">
        <w:t>Benodigde en gedefinieerde berichten</w:t>
      </w:r>
      <w:bookmarkEnd w:id="16"/>
    </w:p>
    <w:p w:rsidR="00683684" w:rsidRDefault="00683684" w:rsidP="00683684">
      <w:pPr>
        <w:jc w:val="both"/>
      </w:pPr>
      <w:r>
        <w:t>Om de gegevensuitwisseling tussen de GBA en de BAG ook geauto</w:t>
      </w:r>
      <w:r>
        <w:softHyphen/>
        <w:t>matiseerd te kunnen onder</w:t>
      </w:r>
      <w:r>
        <w:softHyphen/>
        <w:t>steu</w:t>
      </w:r>
      <w:r w:rsidR="00DC227A">
        <w:softHyphen/>
      </w:r>
      <w:r>
        <w:t>nen, zijn er drie typen berichten nodig:</w:t>
      </w:r>
    </w:p>
    <w:p w:rsidR="00683684" w:rsidRPr="00AF43A6" w:rsidRDefault="00683684" w:rsidP="00683684">
      <w:pPr>
        <w:pStyle w:val="Lijstalinea"/>
        <w:numPr>
          <w:ilvl w:val="0"/>
          <w:numId w:val="10"/>
        </w:numPr>
        <w:jc w:val="both"/>
        <w:rPr>
          <w:sz w:val="22"/>
        </w:rPr>
      </w:pPr>
      <w:r w:rsidRPr="00AF43A6">
        <w:rPr>
          <w:sz w:val="22"/>
        </w:rPr>
        <w:t>Vraag- en antwoordberichten voor ‘Verstrekken adres’</w:t>
      </w:r>
      <w:r w:rsidR="00DC227A">
        <w:rPr>
          <w:sz w:val="22"/>
        </w:rPr>
        <w:t xml:space="preserve"> of het bijwerken van een up-to-date kopie van de BAG in het GBA-domein</w:t>
      </w:r>
      <w:r w:rsidRPr="00AF43A6">
        <w:rPr>
          <w:sz w:val="22"/>
        </w:rPr>
        <w:t>.</w:t>
      </w:r>
    </w:p>
    <w:p w:rsidR="00683684" w:rsidRPr="00AF43A6" w:rsidRDefault="00683684" w:rsidP="00683684">
      <w:pPr>
        <w:pStyle w:val="Lijstalinea"/>
        <w:numPr>
          <w:ilvl w:val="0"/>
          <w:numId w:val="10"/>
        </w:numPr>
        <w:jc w:val="both"/>
        <w:rPr>
          <w:sz w:val="22"/>
        </w:rPr>
      </w:pPr>
      <w:r w:rsidRPr="00AF43A6">
        <w:rPr>
          <w:sz w:val="22"/>
        </w:rPr>
        <w:t>Berichten voor ‘Terugmelden’.</w:t>
      </w:r>
    </w:p>
    <w:p w:rsidR="00683684" w:rsidRPr="00AF43A6" w:rsidRDefault="00683684" w:rsidP="00683684">
      <w:pPr>
        <w:pStyle w:val="Lijstalinea"/>
        <w:numPr>
          <w:ilvl w:val="0"/>
          <w:numId w:val="10"/>
        </w:numPr>
        <w:jc w:val="both"/>
        <w:rPr>
          <w:sz w:val="22"/>
        </w:rPr>
      </w:pPr>
      <w:r w:rsidRPr="00AF43A6">
        <w:rPr>
          <w:sz w:val="22"/>
        </w:rPr>
        <w:t>Berichten voor het bijwerken van de GBA na mutaties in de BAG (‘spontane mel</w:t>
      </w:r>
      <w:r w:rsidRPr="00AF43A6">
        <w:rPr>
          <w:sz w:val="22"/>
        </w:rPr>
        <w:softHyphen/>
        <w:t>din</w:t>
      </w:r>
      <w:r w:rsidRPr="00AF43A6">
        <w:rPr>
          <w:sz w:val="22"/>
        </w:rPr>
        <w:softHyphen/>
        <w:t>gen’).</w:t>
      </w:r>
    </w:p>
    <w:p w:rsidR="00683684" w:rsidRPr="003A2233" w:rsidRDefault="00683684" w:rsidP="00683684">
      <w:pPr>
        <w:jc w:val="both"/>
        <w:rPr>
          <w:sz w:val="8"/>
        </w:rPr>
      </w:pPr>
    </w:p>
    <w:p w:rsidR="00683684" w:rsidRPr="00E04817" w:rsidRDefault="00683684" w:rsidP="00683684">
      <w:pPr>
        <w:jc w:val="both"/>
        <w:rPr>
          <w:b/>
        </w:rPr>
      </w:pPr>
      <w:r w:rsidRPr="00E04817">
        <w:rPr>
          <w:b/>
        </w:rPr>
        <w:t>Ad 1. Vraag- en antwoordberichten.</w:t>
      </w:r>
    </w:p>
    <w:p w:rsidR="00683684" w:rsidRDefault="00683684" w:rsidP="00683684">
      <w:pPr>
        <w:jc w:val="both"/>
      </w:pPr>
      <w:r>
        <w:t>Om na te gaan of een gegeven adres in de BAG voorkomt en de actuele gegevens van het adres ook in detail overeenstemmen met de opgegeven waarden is het nodig vanuit een GBA-applicatie een vraagbericht naar de (gemeentelijke) BAG-applicatie te zenden. Met het uit de BAG teruggestuurde antwoordbericht worden door de GBA de nodige con</w:t>
      </w:r>
      <w:r>
        <w:softHyphen/>
        <w:t>tro</w:t>
      </w:r>
      <w:r>
        <w:softHyphen/>
        <w:t>les uitgevoerd.</w:t>
      </w:r>
    </w:p>
    <w:p w:rsidR="00410807" w:rsidRPr="00854FE1" w:rsidRDefault="00410807" w:rsidP="00410807">
      <w:pPr>
        <w:jc w:val="both"/>
        <w:rPr>
          <w:b/>
        </w:rPr>
      </w:pPr>
      <w:r>
        <w:t xml:space="preserve">Merk op dat het in sommige situaties moeilijk kan zijn om bij een gegeven adres </w:t>
      </w:r>
      <w:r w:rsidR="005C6399">
        <w:t>het</w:t>
      </w:r>
      <w:r>
        <w:t xml:space="preserve"> juiste BAG-object te identificeren. Denk aan fouten in naamgeving, spelling of num</w:t>
      </w:r>
      <w:r>
        <w:softHyphen/>
        <w:t>me</w:t>
      </w:r>
      <w:r>
        <w:softHyphen/>
        <w:t xml:space="preserve">ring. Dan kan het nodig zijn verder te zoeken in een </w:t>
      </w:r>
      <w:r w:rsidR="005C6399">
        <w:t>afgebakend</w:t>
      </w:r>
      <w:r>
        <w:t xml:space="preserve"> geografisch gebied.</w:t>
      </w:r>
    </w:p>
    <w:p w:rsidR="00683684" w:rsidRDefault="00683684" w:rsidP="00683684">
      <w:pPr>
        <w:jc w:val="both"/>
      </w:pPr>
      <w:r w:rsidRPr="00A26C4D">
        <w:rPr>
          <w:u w:val="single"/>
        </w:rPr>
        <w:t>Opmerking</w:t>
      </w:r>
      <w:r>
        <w:t>: In het koppelvlak BAG-GBA zijn de vraag- en antwoordberichten nog niet gede</w:t>
      </w:r>
      <w:r>
        <w:softHyphen/>
        <w:t>fini</w:t>
      </w:r>
      <w:r>
        <w:softHyphen/>
        <w:t>eerd. Het koppelvlak beperkt zich tot de mutaties in de BAG (voor ‘spontane mel</w:t>
      </w:r>
      <w:r>
        <w:softHyphen/>
        <w:t>din</w:t>
      </w:r>
      <w:r>
        <w:softHyphen/>
        <w:t>gen’).</w:t>
      </w:r>
    </w:p>
    <w:p w:rsidR="00683684" w:rsidRPr="00E04817" w:rsidRDefault="00683684" w:rsidP="00683684">
      <w:pPr>
        <w:jc w:val="both"/>
        <w:rPr>
          <w:b/>
        </w:rPr>
      </w:pPr>
      <w:r w:rsidRPr="00E04817">
        <w:rPr>
          <w:b/>
        </w:rPr>
        <w:t>Ad 2. Berichten voor Terugmelden.</w:t>
      </w:r>
    </w:p>
    <w:p w:rsidR="00683684" w:rsidRDefault="00683684" w:rsidP="00683684">
      <w:pPr>
        <w:jc w:val="both"/>
      </w:pPr>
      <w:r>
        <w:t>Bij het terugmelden op een BAG-object moet</w:t>
      </w:r>
      <w:r w:rsidR="003A2233">
        <w:t>, naast eenduidige identificatie van het object</w:t>
      </w:r>
      <w:r w:rsidR="00D15737">
        <w:t xml:space="preserve"> en de melding (met een ‘call’-nummer)</w:t>
      </w:r>
      <w:r w:rsidR="003A2233">
        <w:t>,</w:t>
      </w:r>
      <w:r>
        <w:t xml:space="preserve"> altijd onderbouwd worden wat de aard is van de twijfel die tot de terugmelding heeft geleid. Dit kan betekenen dat er bij het bericht ook documentatie wordt meegezonden ter onderbouwing van de melding. Het onderzoeken van de melding begint in het algemeen bij de BAG-beheerder, die zonodig veldonderzoek laat plaatsvinden.</w:t>
      </w:r>
    </w:p>
    <w:p w:rsidR="00683684" w:rsidRDefault="00683684" w:rsidP="00683684">
      <w:pPr>
        <w:jc w:val="both"/>
      </w:pPr>
      <w:r>
        <w:t>Het beschreven proces gaat er vanuit dat bij het resultaat van de terugmelding (on</w:t>
      </w:r>
      <w:r>
        <w:softHyphen/>
        <w:t>juist</w:t>
      </w:r>
      <w:r>
        <w:softHyphen/>
        <w:t>heden gevonden of niet) ook de benodigde actuele BAG-gegevens worden mee</w:t>
      </w:r>
      <w:r>
        <w:softHyphen/>
        <w:t>ge</w:t>
      </w:r>
      <w:r>
        <w:softHyphen/>
        <w:t>leverd. Als dit niet gebeurt, moeten deze gegevens alsnog vanuit het GBA-proces worden opge</w:t>
      </w:r>
      <w:r>
        <w:softHyphen/>
        <w:t>vraagd via vraag- en antwoordberichten.</w:t>
      </w:r>
    </w:p>
    <w:p w:rsidR="00683684" w:rsidRDefault="00683684" w:rsidP="00683684">
      <w:pPr>
        <w:jc w:val="both"/>
      </w:pPr>
      <w:r w:rsidRPr="00E04817">
        <w:rPr>
          <w:u w:val="single"/>
        </w:rPr>
        <w:t>Opmerking</w:t>
      </w:r>
      <w:r>
        <w:t>: In het koppelvlak BAG-GBA zijn er nog geen berichten gede</w:t>
      </w:r>
      <w:r>
        <w:softHyphen/>
        <w:t>fini</w:t>
      </w:r>
      <w:r>
        <w:softHyphen/>
        <w:t>eerd voor het onder</w:t>
      </w:r>
      <w:r>
        <w:softHyphen/>
        <w:t>steunen van het terugmelden. Dit zal ook niet gebeuren in het kader van de nu gebruikte standaard StUF 2.04. Het betekent dat het terugmelden voorlopig op tra</w:t>
      </w:r>
      <w:r>
        <w:softHyphen/>
        <w:t>di</w:t>
      </w:r>
      <w:r>
        <w:softHyphen/>
        <w:t>tio</w:t>
      </w:r>
      <w:r>
        <w:softHyphen/>
        <w:t>nele wijze moet worden ingericht door het sturen van berichten in de vorm van e-mail met zonodig onderbouwende informatie in de vorm van meegestuurde docu</w:t>
      </w:r>
      <w:r>
        <w:softHyphen/>
        <w:t>men</w:t>
      </w:r>
      <w:r>
        <w:softHyphen/>
        <w:t>ten.</w:t>
      </w:r>
    </w:p>
    <w:p w:rsidR="00683684" w:rsidRPr="00E04817" w:rsidRDefault="00683684" w:rsidP="00683684">
      <w:pPr>
        <w:jc w:val="both"/>
        <w:rPr>
          <w:b/>
        </w:rPr>
      </w:pPr>
      <w:r w:rsidRPr="00E04817">
        <w:rPr>
          <w:b/>
        </w:rPr>
        <w:t xml:space="preserve">Ad 3. Bijwerken van de GBA na </w:t>
      </w:r>
      <w:r>
        <w:rPr>
          <w:b/>
        </w:rPr>
        <w:t>mutaties</w:t>
      </w:r>
      <w:r w:rsidRPr="00E04817">
        <w:rPr>
          <w:b/>
        </w:rPr>
        <w:t xml:space="preserve"> in de BAG.</w:t>
      </w:r>
    </w:p>
    <w:p w:rsidR="005744FF" w:rsidRDefault="00683684" w:rsidP="00683684">
      <w:pPr>
        <w:jc w:val="both"/>
      </w:pPr>
      <w:r>
        <w:t>De berichten voor ‘spontane mel</w:t>
      </w:r>
      <w:r>
        <w:softHyphen/>
        <w:t>din</w:t>
      </w:r>
      <w:r>
        <w:softHyphen/>
        <w:t>gen’</w:t>
      </w:r>
      <w:r w:rsidRPr="00952660">
        <w:t xml:space="preserve"> </w:t>
      </w:r>
      <w:r>
        <w:t>na mutaties in de BAG worden in de volgende paragraaf in verband gebracht met de reeds gedefinieerde deelprocessen in hoofdstuk 4.</w:t>
      </w:r>
    </w:p>
    <w:p w:rsidR="00683684" w:rsidRDefault="00683684" w:rsidP="00683684">
      <w:pPr>
        <w:jc w:val="both"/>
      </w:pPr>
    </w:p>
    <w:p w:rsidR="00683684" w:rsidRPr="0057063A" w:rsidRDefault="00683684" w:rsidP="0057063A">
      <w:pPr>
        <w:pStyle w:val="Kop2"/>
      </w:pPr>
      <w:bookmarkStart w:id="17" w:name="_Toc161406704"/>
      <w:r w:rsidRPr="0057063A">
        <w:t>De samenhang tussen processen, gebeurtenissen en koppelvlak</w:t>
      </w:r>
      <w:bookmarkEnd w:id="17"/>
    </w:p>
    <w:p w:rsidR="00683684" w:rsidRDefault="00683684" w:rsidP="00683684">
      <w:pPr>
        <w:jc w:val="both"/>
      </w:pPr>
      <w:r>
        <w:t>In de processen voor de BAG bepalen gebeurtenissen in de levens</w:t>
      </w:r>
      <w:r>
        <w:softHyphen/>
        <w:t>cyclus van BAG-ob</w:t>
      </w:r>
      <w:r>
        <w:softHyphen/>
        <w:t>jec</w:t>
      </w:r>
      <w:r>
        <w:softHyphen/>
        <w:t>ten het opne</w:t>
      </w:r>
      <w:r w:rsidR="000672FD">
        <w:softHyphen/>
      </w:r>
      <w:r>
        <w:t>men of wijzigen van BAG-gegevens (gegevens worden nooit afgevoerd: ze worden hoogstens inactief gemaakt</w:t>
      </w:r>
      <w:r w:rsidRPr="00304F95">
        <w:t xml:space="preserve"> </w:t>
      </w:r>
      <w:r>
        <w:t>door de ‘d</w:t>
      </w:r>
      <w:r w:rsidRPr="00304F95">
        <w:t>atum einde geldigheid</w:t>
      </w:r>
      <w:r>
        <w:t>’ in te vullen).</w:t>
      </w:r>
      <w:r w:rsidRPr="00C107A6">
        <w:t xml:space="preserve"> </w:t>
      </w:r>
      <w:r>
        <w:t>Sommi</w:t>
      </w:r>
      <w:r>
        <w:softHyphen/>
        <w:t>ge gebeurtenissen hebben ook gevol</w:t>
      </w:r>
      <w:r w:rsidR="000672FD">
        <w:softHyphen/>
      </w:r>
      <w:r>
        <w:t>gen voor de GBA. In het koppel</w:t>
      </w:r>
      <w:r>
        <w:softHyphen/>
        <w:t>vlak BAG-GBA is aangegeven hoe verande</w:t>
      </w:r>
      <w:r>
        <w:softHyphen/>
        <w:t>ringen in de BAG tot het bijwerken van de GBA leiden. In Bijlage B zijn de gebeur</w:t>
      </w:r>
      <w:r>
        <w:softHyphen/>
        <w:t>tenissen uit het koppelvlak opgesomd.</w:t>
      </w:r>
    </w:p>
    <w:p w:rsidR="00683684" w:rsidRDefault="00683684" w:rsidP="00683684">
      <w:pPr>
        <w:jc w:val="both"/>
      </w:pPr>
      <w:r>
        <w:t>In de volgende tabel wordt aangegeven in welk deelproces bepaalde gebeurtenissen betekenis hebben. De derde kolom beschrijft of de gebeurtenis in het koppelvlak BAG-GBA wordt ondersteund met een StUF-bericht. Dit is overgenomen van de omschrijving uit bijlage 1 van het ‘Stappenplan koppeling BAG en GBA’.</w:t>
      </w:r>
    </w:p>
    <w:tbl>
      <w:tblPr>
        <w:tblStyle w:val="Tabelraster"/>
        <w:tblW w:w="0" w:type="auto"/>
        <w:shd w:val="clear" w:color="auto" w:fill="99CCFF"/>
        <w:tblLook w:val="00BF" w:firstRow="1" w:lastRow="0" w:firstColumn="1" w:lastColumn="0" w:noHBand="0" w:noVBand="0"/>
      </w:tblPr>
      <w:tblGrid>
        <w:gridCol w:w="1951"/>
        <w:gridCol w:w="4186"/>
        <w:gridCol w:w="3069"/>
      </w:tblGrid>
      <w:tr w:rsidR="00683684">
        <w:tc>
          <w:tcPr>
            <w:tcW w:w="9206" w:type="dxa"/>
            <w:gridSpan w:val="3"/>
            <w:shd w:val="clear" w:color="auto" w:fill="99CCFF"/>
          </w:tcPr>
          <w:p w:rsidR="00683684" w:rsidRDefault="00683684" w:rsidP="00443C6D">
            <w:pPr>
              <w:jc w:val="both"/>
            </w:pPr>
            <w:r>
              <w:t>Deelproces: Opvoeren adresseerbaar object</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BGR-OBA</w:t>
            </w:r>
          </w:p>
        </w:tc>
        <w:tc>
          <w:tcPr>
            <w:tcW w:w="4186" w:type="dxa"/>
          </w:tcPr>
          <w:p w:rsidR="00683684" w:rsidRPr="00404ADF" w:rsidRDefault="00683684">
            <w:pPr>
              <w:rPr>
                <w:noProof/>
                <w:sz w:val="22"/>
              </w:rPr>
            </w:pPr>
            <w:r w:rsidRPr="00404ADF">
              <w:rPr>
                <w:noProof/>
                <w:sz w:val="22"/>
              </w:rPr>
              <w:t>Ontvangst bouwaanvraag</w:t>
            </w:r>
          </w:p>
        </w:tc>
        <w:tc>
          <w:tcPr>
            <w:tcW w:w="3069" w:type="dxa"/>
          </w:tcPr>
          <w:p w:rsidR="00683684" w:rsidRPr="00404ADF" w:rsidRDefault="00683684" w:rsidP="00443C6D">
            <w:pPr>
              <w:rPr>
                <w:noProof/>
                <w:sz w:val="22"/>
              </w:rPr>
            </w:pPr>
            <w:r w:rsidRPr="00404ADF">
              <w:rPr>
                <w:noProof/>
                <w:sz w:val="22"/>
              </w:rPr>
              <w:t>Geen relevantie GBA</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BGR-VBN</w:t>
            </w:r>
          </w:p>
        </w:tc>
        <w:tc>
          <w:tcPr>
            <w:tcW w:w="4186" w:type="dxa"/>
          </w:tcPr>
          <w:p w:rsidR="00683684" w:rsidRPr="00404ADF" w:rsidRDefault="00683684">
            <w:pPr>
              <w:rPr>
                <w:noProof/>
                <w:sz w:val="22"/>
              </w:rPr>
            </w:pPr>
            <w:r w:rsidRPr="00404ADF">
              <w:rPr>
                <w:noProof/>
                <w:sz w:val="22"/>
              </w:rPr>
              <w:t xml:space="preserve">Verlenen bouwvergunning </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BGR-VBI</w:t>
            </w:r>
          </w:p>
        </w:tc>
        <w:tc>
          <w:tcPr>
            <w:tcW w:w="4186" w:type="dxa"/>
          </w:tcPr>
          <w:p w:rsidR="00683684" w:rsidRPr="00404ADF" w:rsidRDefault="00683684">
            <w:pPr>
              <w:rPr>
                <w:noProof/>
                <w:sz w:val="22"/>
              </w:rPr>
            </w:pPr>
            <w:r w:rsidRPr="00404ADF">
              <w:rPr>
                <w:noProof/>
                <w:sz w:val="22"/>
              </w:rPr>
              <w:t>Verlenen bouwvergunning ingrijpen</w:t>
            </w:r>
            <w:r w:rsidRPr="00404ADF">
              <w:rPr>
                <w:noProof/>
                <w:sz w:val="22"/>
              </w:rPr>
              <w:softHyphen/>
              <w:t>de verbouwing</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BGR-MSB</w:t>
            </w:r>
          </w:p>
        </w:tc>
        <w:tc>
          <w:tcPr>
            <w:tcW w:w="4186" w:type="dxa"/>
          </w:tcPr>
          <w:p w:rsidR="00683684" w:rsidRPr="00404ADF" w:rsidRDefault="00683684">
            <w:pPr>
              <w:rPr>
                <w:noProof/>
                <w:sz w:val="22"/>
              </w:rPr>
            </w:pPr>
            <w:r w:rsidRPr="00404ADF">
              <w:rPr>
                <w:noProof/>
                <w:sz w:val="22"/>
              </w:rPr>
              <w:t>Melding start bouw</w:t>
            </w:r>
          </w:p>
        </w:tc>
        <w:tc>
          <w:tcPr>
            <w:tcW w:w="3069" w:type="dxa"/>
          </w:tcPr>
          <w:p w:rsidR="00683684" w:rsidRPr="00404ADF" w:rsidRDefault="00683684" w:rsidP="00443C6D">
            <w:pPr>
              <w:rPr>
                <w:noProof/>
                <w:sz w:val="22"/>
              </w:rPr>
            </w:pPr>
            <w:r w:rsidRPr="00404ADF">
              <w:rPr>
                <w:noProof/>
                <w:sz w:val="22"/>
              </w:rPr>
              <w:t>Geen relevantie GBA</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BGR-MGB</w:t>
            </w:r>
          </w:p>
        </w:tc>
        <w:tc>
          <w:tcPr>
            <w:tcW w:w="4186" w:type="dxa"/>
          </w:tcPr>
          <w:p w:rsidR="00683684" w:rsidRPr="00404ADF" w:rsidRDefault="00683684">
            <w:pPr>
              <w:rPr>
                <w:noProof/>
                <w:sz w:val="22"/>
              </w:rPr>
            </w:pPr>
            <w:r w:rsidRPr="00404ADF">
              <w:rPr>
                <w:noProof/>
                <w:sz w:val="22"/>
              </w:rPr>
              <w:t>Melding gebruiksgereed</w:t>
            </w:r>
          </w:p>
        </w:tc>
        <w:tc>
          <w:tcPr>
            <w:tcW w:w="3069" w:type="dxa"/>
          </w:tcPr>
          <w:p w:rsidR="00683684" w:rsidRPr="00404ADF" w:rsidRDefault="00683684" w:rsidP="00443C6D">
            <w:pPr>
              <w:rPr>
                <w:noProof/>
                <w:sz w:val="22"/>
              </w:rPr>
            </w:pPr>
            <w:r w:rsidRPr="00404ADF">
              <w:rPr>
                <w:noProof/>
                <w:sz w:val="22"/>
              </w:rPr>
              <w:t>Toekomstige versies</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BGR-BSLSP</w:t>
            </w:r>
          </w:p>
        </w:tc>
        <w:tc>
          <w:tcPr>
            <w:tcW w:w="4186" w:type="dxa"/>
          </w:tcPr>
          <w:p w:rsidR="00683684" w:rsidRPr="00404ADF" w:rsidRDefault="00683684">
            <w:pPr>
              <w:rPr>
                <w:noProof/>
                <w:sz w:val="22"/>
              </w:rPr>
            </w:pPr>
            <w:r w:rsidRPr="00404ADF">
              <w:rPr>
                <w:noProof/>
                <w:sz w:val="22"/>
              </w:rPr>
              <w:t>Benoemen standplaats</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BGR-BSLLP</w:t>
            </w:r>
          </w:p>
        </w:tc>
        <w:tc>
          <w:tcPr>
            <w:tcW w:w="4186" w:type="dxa"/>
          </w:tcPr>
          <w:p w:rsidR="00683684" w:rsidRPr="00404ADF" w:rsidRDefault="00683684">
            <w:pPr>
              <w:rPr>
                <w:noProof/>
                <w:sz w:val="22"/>
              </w:rPr>
            </w:pPr>
            <w:r w:rsidRPr="00404ADF">
              <w:rPr>
                <w:noProof/>
                <w:sz w:val="22"/>
              </w:rPr>
              <w:t>Benoemen ligplaats</w:t>
            </w:r>
          </w:p>
        </w:tc>
        <w:tc>
          <w:tcPr>
            <w:tcW w:w="3069" w:type="dxa"/>
          </w:tcPr>
          <w:p w:rsidR="00683684" w:rsidRPr="00404ADF" w:rsidRDefault="00683684" w:rsidP="00443C6D">
            <w:pPr>
              <w:rPr>
                <w:noProof/>
                <w:sz w:val="22"/>
              </w:rPr>
            </w:pPr>
            <w:r w:rsidRPr="00404ADF">
              <w:rPr>
                <w:noProof/>
                <w:sz w:val="22"/>
              </w:rPr>
              <w:t>Wordt ondersteund</w:t>
            </w:r>
          </w:p>
        </w:tc>
      </w:tr>
    </w:tbl>
    <w:p w:rsidR="00683684" w:rsidRPr="00E75903" w:rsidRDefault="00683684" w:rsidP="00683684">
      <w:pPr>
        <w:jc w:val="both"/>
      </w:pPr>
    </w:p>
    <w:tbl>
      <w:tblPr>
        <w:tblStyle w:val="Tabelraster"/>
        <w:tblW w:w="0" w:type="auto"/>
        <w:shd w:val="clear" w:color="auto" w:fill="99CCFF"/>
        <w:tblLook w:val="00BF" w:firstRow="1" w:lastRow="0" w:firstColumn="1" w:lastColumn="0" w:noHBand="0" w:noVBand="0"/>
      </w:tblPr>
      <w:tblGrid>
        <w:gridCol w:w="1951"/>
        <w:gridCol w:w="4186"/>
        <w:gridCol w:w="3069"/>
      </w:tblGrid>
      <w:tr w:rsidR="00683684">
        <w:tc>
          <w:tcPr>
            <w:tcW w:w="9206" w:type="dxa"/>
            <w:gridSpan w:val="3"/>
            <w:shd w:val="clear" w:color="auto" w:fill="99CCFF"/>
          </w:tcPr>
          <w:p w:rsidR="00683684" w:rsidRDefault="00683684" w:rsidP="00443C6D">
            <w:pPr>
              <w:jc w:val="both"/>
            </w:pPr>
            <w:r>
              <w:t>Deelproces: Wijzigen adresseerbaar object</w:t>
            </w:r>
          </w:p>
        </w:tc>
      </w:tr>
      <w:tr w:rsidR="00683684" w:rsidRPr="00404ADF">
        <w:tblPrEx>
          <w:shd w:val="clear" w:color="auto" w:fill="auto"/>
        </w:tblPrEx>
        <w:tc>
          <w:tcPr>
            <w:tcW w:w="1951" w:type="dxa"/>
          </w:tcPr>
          <w:p w:rsidR="00683684" w:rsidRPr="00404ADF" w:rsidRDefault="00683684" w:rsidP="00443C6D">
            <w:pPr>
              <w:rPr>
                <w:sz w:val="22"/>
              </w:rPr>
            </w:pPr>
            <w:r w:rsidRPr="00404ADF">
              <w:rPr>
                <w:noProof/>
                <w:sz w:val="22"/>
              </w:rPr>
              <w:t>BGR-BIG</w:t>
            </w:r>
          </w:p>
        </w:tc>
        <w:tc>
          <w:tcPr>
            <w:tcW w:w="4186" w:type="dxa"/>
          </w:tcPr>
          <w:p w:rsidR="00683684" w:rsidRPr="00404ADF" w:rsidRDefault="00683684">
            <w:pPr>
              <w:rPr>
                <w:sz w:val="22"/>
              </w:rPr>
            </w:pPr>
            <w:r w:rsidRPr="00404ADF">
              <w:rPr>
                <w:noProof/>
                <w:sz w:val="22"/>
              </w:rPr>
              <w:t>Beschikbaar komen ingemeten geome</w:t>
            </w:r>
            <w:r w:rsidRPr="00404ADF">
              <w:rPr>
                <w:noProof/>
                <w:sz w:val="22"/>
              </w:rPr>
              <w:softHyphen/>
              <w:t>trie</w:t>
            </w:r>
          </w:p>
        </w:tc>
        <w:tc>
          <w:tcPr>
            <w:tcW w:w="3069" w:type="dxa"/>
          </w:tcPr>
          <w:p w:rsidR="00683684" w:rsidRPr="00404ADF" w:rsidRDefault="00683684" w:rsidP="00443C6D">
            <w:pPr>
              <w:rPr>
                <w:sz w:val="22"/>
              </w:rPr>
            </w:pPr>
            <w:r w:rsidRPr="00404ADF">
              <w:rPr>
                <w:noProof/>
                <w:sz w:val="22"/>
              </w:rPr>
              <w:t>Geen relevantie GBA</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sz w:val="22"/>
              </w:rPr>
            </w:pPr>
            <w:r w:rsidRPr="00404ADF">
              <w:rPr>
                <w:sz w:val="22"/>
              </w:rPr>
              <w:t>BRA-OPC</w:t>
            </w:r>
          </w:p>
        </w:tc>
        <w:tc>
          <w:tcPr>
            <w:tcW w:w="4186" w:type="dxa"/>
          </w:tcPr>
          <w:p w:rsidR="00683684" w:rsidRPr="00404ADF" w:rsidRDefault="00683684">
            <w:pPr>
              <w:rPr>
                <w:sz w:val="22"/>
              </w:rPr>
            </w:pPr>
            <w:r w:rsidRPr="00404ADF">
              <w:rPr>
                <w:noProof/>
                <w:sz w:val="22"/>
              </w:rPr>
              <w:t>Ontvangen postcode</w:t>
            </w:r>
          </w:p>
        </w:tc>
        <w:tc>
          <w:tcPr>
            <w:tcW w:w="3069" w:type="dxa"/>
          </w:tcPr>
          <w:p w:rsidR="00683684" w:rsidRPr="00404ADF" w:rsidRDefault="00683684" w:rsidP="00443C6D">
            <w:pPr>
              <w:rPr>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BGR-KVO</w:t>
            </w:r>
          </w:p>
        </w:tc>
        <w:tc>
          <w:tcPr>
            <w:tcW w:w="4186" w:type="dxa"/>
          </w:tcPr>
          <w:p w:rsidR="00683684" w:rsidRPr="00404ADF" w:rsidRDefault="00683684">
            <w:pPr>
              <w:rPr>
                <w:noProof/>
                <w:sz w:val="22"/>
              </w:rPr>
            </w:pPr>
            <w:r w:rsidRPr="00404ADF">
              <w:rPr>
                <w:noProof/>
                <w:sz w:val="22"/>
              </w:rPr>
              <w:t>Kleine verbouwing object</w:t>
            </w:r>
          </w:p>
        </w:tc>
        <w:tc>
          <w:tcPr>
            <w:tcW w:w="3069" w:type="dxa"/>
          </w:tcPr>
          <w:p w:rsidR="00683684" w:rsidRPr="00404ADF" w:rsidRDefault="00683684" w:rsidP="00443C6D">
            <w:pPr>
              <w:rPr>
                <w:noProof/>
                <w:sz w:val="22"/>
              </w:rPr>
            </w:pPr>
            <w:r w:rsidRPr="00404ADF">
              <w:rPr>
                <w:noProof/>
                <w:sz w:val="22"/>
              </w:rPr>
              <w:t>Geen relevantie GBA</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BGR-SSVSAMEN</w:t>
            </w:r>
          </w:p>
        </w:tc>
        <w:tc>
          <w:tcPr>
            <w:tcW w:w="4186" w:type="dxa"/>
          </w:tcPr>
          <w:p w:rsidR="00683684" w:rsidRPr="00404ADF" w:rsidRDefault="00683684">
            <w:pPr>
              <w:rPr>
                <w:noProof/>
                <w:sz w:val="22"/>
              </w:rPr>
            </w:pPr>
            <w:r w:rsidRPr="00404ADF">
              <w:rPr>
                <w:noProof/>
                <w:sz w:val="22"/>
              </w:rPr>
              <w:t>Samenvoegen verblijfsobjecten</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BGR-SSVSPLITS</w:t>
            </w:r>
          </w:p>
        </w:tc>
        <w:tc>
          <w:tcPr>
            <w:tcW w:w="4186" w:type="dxa"/>
          </w:tcPr>
          <w:p w:rsidR="00683684" w:rsidRPr="00404ADF" w:rsidRDefault="00683684">
            <w:pPr>
              <w:rPr>
                <w:noProof/>
                <w:sz w:val="22"/>
              </w:rPr>
            </w:pPr>
            <w:r w:rsidRPr="00404ADF">
              <w:rPr>
                <w:noProof/>
                <w:sz w:val="22"/>
              </w:rPr>
              <w:t>Splitsen verblijfsobjecten</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BRA-HNU</w:t>
            </w:r>
          </w:p>
        </w:tc>
        <w:tc>
          <w:tcPr>
            <w:tcW w:w="4186" w:type="dxa"/>
          </w:tcPr>
          <w:p w:rsidR="00683684" w:rsidRPr="00404ADF" w:rsidRDefault="00683684">
            <w:pPr>
              <w:rPr>
                <w:noProof/>
                <w:sz w:val="22"/>
              </w:rPr>
            </w:pPr>
            <w:r w:rsidRPr="00404ADF">
              <w:rPr>
                <w:noProof/>
                <w:sz w:val="22"/>
              </w:rPr>
              <w:t>Hernummeren adresseerbaar object</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sz w:val="22"/>
              </w:rPr>
            </w:pPr>
            <w:r w:rsidRPr="00404ADF">
              <w:rPr>
                <w:sz w:val="22"/>
              </w:rPr>
              <w:t>BRA-OHN</w:t>
            </w:r>
          </w:p>
        </w:tc>
        <w:tc>
          <w:tcPr>
            <w:tcW w:w="4186" w:type="dxa"/>
          </w:tcPr>
          <w:p w:rsidR="00683684" w:rsidRPr="00404ADF" w:rsidRDefault="00683684">
            <w:pPr>
              <w:rPr>
                <w:sz w:val="22"/>
              </w:rPr>
            </w:pPr>
            <w:r w:rsidRPr="00404ADF">
              <w:rPr>
                <w:noProof/>
                <w:sz w:val="22"/>
              </w:rPr>
              <w:t>Hoofd- en nevenadres adresseerbaar object omdraaien</w:t>
            </w:r>
          </w:p>
        </w:tc>
        <w:tc>
          <w:tcPr>
            <w:tcW w:w="3069" w:type="dxa"/>
          </w:tcPr>
          <w:p w:rsidR="00683684" w:rsidRPr="00404ADF" w:rsidRDefault="00683684" w:rsidP="00443C6D">
            <w:pPr>
              <w:rPr>
                <w:sz w:val="22"/>
              </w:rPr>
            </w:pPr>
            <w:r w:rsidRPr="00404ADF">
              <w:rPr>
                <w:noProof/>
                <w:sz w:val="22"/>
              </w:rPr>
              <w:t>Wordt ondersteund</w:t>
            </w:r>
          </w:p>
        </w:tc>
      </w:tr>
    </w:tbl>
    <w:p w:rsidR="00683684" w:rsidRPr="00E75903" w:rsidRDefault="00683684" w:rsidP="00683684">
      <w:pPr>
        <w:jc w:val="both"/>
      </w:pPr>
    </w:p>
    <w:tbl>
      <w:tblPr>
        <w:tblStyle w:val="Tabelraster"/>
        <w:tblW w:w="0" w:type="auto"/>
        <w:shd w:val="clear" w:color="auto" w:fill="99CCFF"/>
        <w:tblLook w:val="00BF" w:firstRow="1" w:lastRow="0" w:firstColumn="1" w:lastColumn="0" w:noHBand="0" w:noVBand="0"/>
      </w:tblPr>
      <w:tblGrid>
        <w:gridCol w:w="1951"/>
        <w:gridCol w:w="4186"/>
        <w:gridCol w:w="3069"/>
      </w:tblGrid>
      <w:tr w:rsidR="00683684">
        <w:tc>
          <w:tcPr>
            <w:tcW w:w="9206" w:type="dxa"/>
            <w:gridSpan w:val="3"/>
            <w:shd w:val="clear" w:color="auto" w:fill="99CCFF"/>
          </w:tcPr>
          <w:p w:rsidR="00683684" w:rsidRDefault="00683684" w:rsidP="00443C6D">
            <w:pPr>
              <w:jc w:val="both"/>
            </w:pPr>
            <w:r>
              <w:t>Deelproces: Afvoeren adresseerbaar object</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BGR-IBV</w:t>
            </w:r>
          </w:p>
        </w:tc>
        <w:tc>
          <w:tcPr>
            <w:tcW w:w="4186" w:type="dxa"/>
          </w:tcPr>
          <w:p w:rsidR="00683684" w:rsidRPr="00404ADF" w:rsidRDefault="00683684">
            <w:pPr>
              <w:rPr>
                <w:noProof/>
                <w:sz w:val="22"/>
              </w:rPr>
            </w:pPr>
            <w:r w:rsidRPr="00404ADF">
              <w:rPr>
                <w:noProof/>
                <w:sz w:val="22"/>
              </w:rPr>
              <w:t>Intrekken bouwvergunning</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BGR-ISLSP</w:t>
            </w:r>
          </w:p>
        </w:tc>
        <w:tc>
          <w:tcPr>
            <w:tcW w:w="4186" w:type="dxa"/>
          </w:tcPr>
          <w:p w:rsidR="00683684" w:rsidRPr="00404ADF" w:rsidRDefault="00683684">
            <w:pPr>
              <w:rPr>
                <w:noProof/>
                <w:sz w:val="22"/>
              </w:rPr>
            </w:pPr>
            <w:r w:rsidRPr="00404ADF">
              <w:rPr>
                <w:noProof/>
                <w:sz w:val="22"/>
              </w:rPr>
              <w:t>Intrekken standplaats</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BGR-ISLLP</w:t>
            </w:r>
          </w:p>
        </w:tc>
        <w:tc>
          <w:tcPr>
            <w:tcW w:w="4186" w:type="dxa"/>
          </w:tcPr>
          <w:p w:rsidR="00683684" w:rsidRPr="00404ADF" w:rsidRDefault="00683684">
            <w:pPr>
              <w:rPr>
                <w:noProof/>
                <w:sz w:val="22"/>
              </w:rPr>
            </w:pPr>
            <w:r w:rsidRPr="00404ADF">
              <w:rPr>
                <w:noProof/>
                <w:sz w:val="22"/>
              </w:rPr>
              <w:t>Intrekken ligplaats</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BGR-MAB</w:t>
            </w:r>
          </w:p>
        </w:tc>
        <w:tc>
          <w:tcPr>
            <w:tcW w:w="4186" w:type="dxa"/>
          </w:tcPr>
          <w:p w:rsidR="00683684" w:rsidRPr="00404ADF" w:rsidRDefault="00683684">
            <w:pPr>
              <w:rPr>
                <w:noProof/>
                <w:sz w:val="22"/>
              </w:rPr>
            </w:pPr>
            <w:r w:rsidRPr="00404ADF">
              <w:rPr>
                <w:noProof/>
                <w:sz w:val="22"/>
              </w:rPr>
              <w:t>Melding of waarneming afzien van bouw</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BGR-VSL</w:t>
            </w:r>
          </w:p>
        </w:tc>
        <w:tc>
          <w:tcPr>
            <w:tcW w:w="4186" w:type="dxa"/>
          </w:tcPr>
          <w:p w:rsidR="00683684" w:rsidRPr="00404ADF" w:rsidRDefault="00683684">
            <w:pPr>
              <w:rPr>
                <w:noProof/>
                <w:sz w:val="22"/>
              </w:rPr>
            </w:pPr>
            <w:r w:rsidRPr="00404ADF">
              <w:rPr>
                <w:noProof/>
                <w:sz w:val="22"/>
              </w:rPr>
              <w:t>Verlenen sloopvergunning</w:t>
            </w:r>
          </w:p>
        </w:tc>
        <w:tc>
          <w:tcPr>
            <w:tcW w:w="3069" w:type="dxa"/>
          </w:tcPr>
          <w:p w:rsidR="00683684" w:rsidRPr="00404ADF" w:rsidRDefault="00683684" w:rsidP="00443C6D">
            <w:pPr>
              <w:rPr>
                <w:noProof/>
                <w:sz w:val="22"/>
              </w:rPr>
            </w:pPr>
            <w:r w:rsidRPr="00404ADF">
              <w:rPr>
                <w:noProof/>
                <w:sz w:val="22"/>
              </w:rPr>
              <w:t>Geen relevantie GBA</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BGR-MGS</w:t>
            </w:r>
          </w:p>
        </w:tc>
        <w:tc>
          <w:tcPr>
            <w:tcW w:w="4186" w:type="dxa"/>
          </w:tcPr>
          <w:p w:rsidR="00683684" w:rsidRPr="00404ADF" w:rsidRDefault="00683684">
            <w:pPr>
              <w:rPr>
                <w:noProof/>
                <w:sz w:val="22"/>
              </w:rPr>
            </w:pPr>
            <w:r w:rsidRPr="00404ADF">
              <w:rPr>
                <w:noProof/>
                <w:sz w:val="22"/>
              </w:rPr>
              <w:t>Melding sloop afgerond</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BGR-PNO</w:t>
            </w:r>
          </w:p>
        </w:tc>
        <w:tc>
          <w:tcPr>
            <w:tcW w:w="4186" w:type="dxa"/>
          </w:tcPr>
          <w:p w:rsidR="00683684" w:rsidRPr="00404ADF" w:rsidRDefault="00683684">
            <w:pPr>
              <w:rPr>
                <w:noProof/>
                <w:sz w:val="22"/>
              </w:rPr>
            </w:pPr>
            <w:r w:rsidRPr="00404ADF">
              <w:rPr>
                <w:noProof/>
                <w:sz w:val="22"/>
              </w:rPr>
              <w:t>Pand onbewoonbaar</w:t>
            </w:r>
          </w:p>
        </w:tc>
        <w:tc>
          <w:tcPr>
            <w:tcW w:w="3069" w:type="dxa"/>
          </w:tcPr>
          <w:p w:rsidR="00683684" w:rsidRPr="00404ADF" w:rsidRDefault="00683684" w:rsidP="00443C6D">
            <w:pPr>
              <w:rPr>
                <w:noProof/>
                <w:sz w:val="22"/>
              </w:rPr>
            </w:pPr>
            <w:r w:rsidRPr="00404ADF">
              <w:rPr>
                <w:noProof/>
                <w:sz w:val="22"/>
              </w:rPr>
              <w:t>Toekomstige versies</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BGR-VOCDEEL</w:t>
            </w:r>
          </w:p>
        </w:tc>
        <w:tc>
          <w:tcPr>
            <w:tcW w:w="4186" w:type="dxa"/>
          </w:tcPr>
          <w:p w:rsidR="00683684" w:rsidRPr="00404ADF" w:rsidRDefault="00683684">
            <w:pPr>
              <w:rPr>
                <w:noProof/>
                <w:sz w:val="22"/>
              </w:rPr>
            </w:pPr>
            <w:r w:rsidRPr="00404ADF">
              <w:rPr>
                <w:noProof/>
                <w:sz w:val="22"/>
              </w:rPr>
              <w:t>Gedeeltelijk verdwijnen objecten door calamiteiten</w:t>
            </w:r>
          </w:p>
        </w:tc>
        <w:tc>
          <w:tcPr>
            <w:tcW w:w="3069" w:type="dxa"/>
          </w:tcPr>
          <w:p w:rsidR="00683684" w:rsidRPr="00404ADF" w:rsidRDefault="00683684" w:rsidP="00443C6D">
            <w:pPr>
              <w:rPr>
                <w:noProof/>
                <w:sz w:val="22"/>
              </w:rPr>
            </w:pPr>
            <w:r w:rsidRPr="00404ADF">
              <w:rPr>
                <w:noProof/>
                <w:sz w:val="22"/>
              </w:rPr>
              <w:t>Toekomstige versies</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BGR-VOCHEEL</w:t>
            </w:r>
          </w:p>
        </w:tc>
        <w:tc>
          <w:tcPr>
            <w:tcW w:w="4186" w:type="dxa"/>
          </w:tcPr>
          <w:p w:rsidR="00683684" w:rsidRPr="00404ADF" w:rsidRDefault="00683684">
            <w:pPr>
              <w:rPr>
                <w:noProof/>
                <w:sz w:val="22"/>
              </w:rPr>
            </w:pPr>
            <w:r w:rsidRPr="00404ADF">
              <w:rPr>
                <w:noProof/>
                <w:sz w:val="22"/>
              </w:rPr>
              <w:t>Geheel verdwijnen objecten door cala</w:t>
            </w:r>
            <w:r w:rsidRPr="00404ADF">
              <w:rPr>
                <w:noProof/>
                <w:sz w:val="22"/>
              </w:rPr>
              <w:softHyphen/>
              <w:t>mi</w:t>
            </w:r>
            <w:r w:rsidRPr="00404ADF">
              <w:rPr>
                <w:noProof/>
                <w:sz w:val="22"/>
              </w:rPr>
              <w:softHyphen/>
              <w:t>teiten</w:t>
            </w:r>
          </w:p>
        </w:tc>
        <w:tc>
          <w:tcPr>
            <w:tcW w:w="3069" w:type="dxa"/>
          </w:tcPr>
          <w:p w:rsidR="00683684" w:rsidRPr="00404ADF" w:rsidRDefault="00683684" w:rsidP="00443C6D">
            <w:pPr>
              <w:rPr>
                <w:noProof/>
                <w:sz w:val="22"/>
              </w:rPr>
            </w:pPr>
            <w:r w:rsidRPr="00404ADF">
              <w:rPr>
                <w:noProof/>
                <w:sz w:val="22"/>
              </w:rPr>
              <w:t>Wordt ondersteund</w:t>
            </w:r>
          </w:p>
        </w:tc>
      </w:tr>
    </w:tbl>
    <w:p w:rsidR="00683684" w:rsidRPr="00E75903" w:rsidRDefault="00683684" w:rsidP="00683684">
      <w:pPr>
        <w:jc w:val="both"/>
      </w:pPr>
    </w:p>
    <w:tbl>
      <w:tblPr>
        <w:tblStyle w:val="Tabelraster"/>
        <w:tblW w:w="0" w:type="auto"/>
        <w:shd w:val="clear" w:color="auto" w:fill="99CCFF"/>
        <w:tblLook w:val="00BF" w:firstRow="1" w:lastRow="0" w:firstColumn="1" w:lastColumn="0" w:noHBand="0" w:noVBand="0"/>
      </w:tblPr>
      <w:tblGrid>
        <w:gridCol w:w="1951"/>
        <w:gridCol w:w="4186"/>
        <w:gridCol w:w="3069"/>
      </w:tblGrid>
      <w:tr w:rsidR="00683684">
        <w:tc>
          <w:tcPr>
            <w:tcW w:w="9206" w:type="dxa"/>
            <w:gridSpan w:val="3"/>
            <w:shd w:val="clear" w:color="auto" w:fill="99CCFF"/>
          </w:tcPr>
          <w:p w:rsidR="00683684" w:rsidRDefault="00683684" w:rsidP="00404ADF">
            <w:pPr>
              <w:keepNext/>
              <w:jc w:val="both"/>
            </w:pPr>
            <w:r>
              <w:lastRenderedPageBreak/>
              <w:t>Deelproces: Wijzigen openbare ruimte of woonplaats</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BRA-BWP</w:t>
            </w:r>
          </w:p>
        </w:tc>
        <w:tc>
          <w:tcPr>
            <w:tcW w:w="4186" w:type="dxa"/>
          </w:tcPr>
          <w:p w:rsidR="00683684" w:rsidRPr="00404ADF" w:rsidRDefault="00683684">
            <w:pPr>
              <w:rPr>
                <w:noProof/>
                <w:sz w:val="22"/>
              </w:rPr>
            </w:pPr>
            <w:r w:rsidRPr="00404ADF">
              <w:rPr>
                <w:noProof/>
                <w:sz w:val="22"/>
              </w:rPr>
              <w:t>Benoemen woonplaats</w:t>
            </w:r>
          </w:p>
        </w:tc>
        <w:tc>
          <w:tcPr>
            <w:tcW w:w="3069" w:type="dxa"/>
          </w:tcPr>
          <w:p w:rsidR="00683684" w:rsidRPr="00404ADF" w:rsidRDefault="00683684" w:rsidP="00443C6D">
            <w:pPr>
              <w:rPr>
                <w:noProof/>
                <w:sz w:val="22"/>
              </w:rPr>
            </w:pPr>
            <w:r w:rsidRPr="00404ADF">
              <w:rPr>
                <w:noProof/>
                <w:sz w:val="22"/>
              </w:rPr>
              <w:t xml:space="preserve">Optioneel, afh. </w:t>
            </w:r>
            <w:r w:rsidR="00675B15">
              <w:rPr>
                <w:noProof/>
                <w:sz w:val="22"/>
              </w:rPr>
              <w:t>l</w:t>
            </w:r>
            <w:r w:rsidRPr="00404ADF">
              <w:rPr>
                <w:noProof/>
                <w:sz w:val="22"/>
              </w:rPr>
              <w:t>everancier</w:t>
            </w:r>
            <w:r w:rsidR="00675B15">
              <w:rPr>
                <w:noProof/>
                <w:sz w:val="22"/>
              </w:rPr>
              <w:t xml:space="preserve"> </w:t>
            </w:r>
            <w:r w:rsidR="00675B15">
              <w:rPr>
                <w:rStyle w:val="Voetnootmarkering"/>
                <w:noProof/>
                <w:sz w:val="22"/>
              </w:rPr>
              <w:footnoteReference w:id="8"/>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BRA-HWP</w:t>
            </w:r>
          </w:p>
        </w:tc>
        <w:tc>
          <w:tcPr>
            <w:tcW w:w="4186" w:type="dxa"/>
          </w:tcPr>
          <w:p w:rsidR="00683684" w:rsidRPr="00404ADF" w:rsidRDefault="00683684">
            <w:pPr>
              <w:rPr>
                <w:noProof/>
                <w:sz w:val="22"/>
              </w:rPr>
            </w:pPr>
            <w:r w:rsidRPr="00404ADF">
              <w:rPr>
                <w:noProof/>
                <w:sz w:val="22"/>
              </w:rPr>
              <w:t>Hernoemen woonplaats</w:t>
            </w:r>
          </w:p>
        </w:tc>
        <w:tc>
          <w:tcPr>
            <w:tcW w:w="3069" w:type="dxa"/>
          </w:tcPr>
          <w:p w:rsidR="00683684" w:rsidRPr="00404ADF" w:rsidRDefault="00683684" w:rsidP="00443C6D">
            <w:pPr>
              <w:rPr>
                <w:noProof/>
                <w:sz w:val="22"/>
              </w:rPr>
            </w:pPr>
            <w:r w:rsidRPr="00404ADF">
              <w:rPr>
                <w:noProof/>
                <w:sz w:val="22"/>
              </w:rPr>
              <w:t>Optioneel, afh. leverancier</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BRA-WGW</w:t>
            </w:r>
          </w:p>
        </w:tc>
        <w:tc>
          <w:tcPr>
            <w:tcW w:w="4186" w:type="dxa"/>
          </w:tcPr>
          <w:p w:rsidR="00683684" w:rsidRPr="00404ADF" w:rsidRDefault="00683684">
            <w:pPr>
              <w:rPr>
                <w:noProof/>
                <w:sz w:val="22"/>
              </w:rPr>
            </w:pPr>
            <w:r w:rsidRPr="00404ADF">
              <w:rPr>
                <w:noProof/>
                <w:sz w:val="22"/>
              </w:rPr>
              <w:t>Wijzigen grens woonplaats</w:t>
            </w:r>
          </w:p>
        </w:tc>
        <w:tc>
          <w:tcPr>
            <w:tcW w:w="3069" w:type="dxa"/>
          </w:tcPr>
          <w:p w:rsidR="00683684" w:rsidRPr="00404ADF" w:rsidRDefault="00683684" w:rsidP="00443C6D">
            <w:pPr>
              <w:rPr>
                <w:noProof/>
                <w:sz w:val="22"/>
              </w:rPr>
            </w:pPr>
            <w:r w:rsidRPr="00404ADF">
              <w:rPr>
                <w:noProof/>
                <w:sz w:val="22"/>
              </w:rPr>
              <w:t>Optioneel, afh. leverancier</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BRA-IWP</w:t>
            </w:r>
          </w:p>
        </w:tc>
        <w:tc>
          <w:tcPr>
            <w:tcW w:w="4186" w:type="dxa"/>
          </w:tcPr>
          <w:p w:rsidR="00683684" w:rsidRPr="00404ADF" w:rsidRDefault="00683684">
            <w:pPr>
              <w:rPr>
                <w:noProof/>
                <w:sz w:val="22"/>
              </w:rPr>
            </w:pPr>
            <w:r w:rsidRPr="00404ADF">
              <w:rPr>
                <w:noProof/>
                <w:sz w:val="22"/>
              </w:rPr>
              <w:t>Intrekken woonplaats</w:t>
            </w:r>
          </w:p>
        </w:tc>
        <w:tc>
          <w:tcPr>
            <w:tcW w:w="3069" w:type="dxa"/>
          </w:tcPr>
          <w:p w:rsidR="00683684" w:rsidRPr="00404ADF" w:rsidRDefault="00683684" w:rsidP="00443C6D">
            <w:pPr>
              <w:rPr>
                <w:noProof/>
                <w:sz w:val="22"/>
              </w:rPr>
            </w:pPr>
            <w:r w:rsidRPr="00404ADF">
              <w:rPr>
                <w:noProof/>
                <w:sz w:val="22"/>
              </w:rPr>
              <w:t>Optioneel, afh. leverancier</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BRA-BOR</w:t>
            </w:r>
          </w:p>
        </w:tc>
        <w:tc>
          <w:tcPr>
            <w:tcW w:w="4186" w:type="dxa"/>
          </w:tcPr>
          <w:p w:rsidR="00683684" w:rsidRPr="00404ADF" w:rsidRDefault="00683684">
            <w:pPr>
              <w:rPr>
                <w:noProof/>
                <w:sz w:val="22"/>
              </w:rPr>
            </w:pPr>
            <w:r w:rsidRPr="00404ADF">
              <w:rPr>
                <w:noProof/>
                <w:sz w:val="22"/>
              </w:rPr>
              <w:t>Benoemen openbare ruimte</w:t>
            </w:r>
          </w:p>
        </w:tc>
        <w:tc>
          <w:tcPr>
            <w:tcW w:w="3069" w:type="dxa"/>
          </w:tcPr>
          <w:p w:rsidR="00683684" w:rsidRPr="00404ADF" w:rsidRDefault="00683684" w:rsidP="00443C6D">
            <w:pPr>
              <w:rPr>
                <w:noProof/>
                <w:sz w:val="22"/>
              </w:rPr>
            </w:pPr>
            <w:r w:rsidRPr="00404ADF">
              <w:rPr>
                <w:noProof/>
                <w:sz w:val="22"/>
              </w:rPr>
              <w:t>Optioneel, afh. leverancier</w:t>
            </w:r>
            <w:r w:rsidR="00675B15">
              <w:rPr>
                <w:noProof/>
                <w:sz w:val="22"/>
              </w:rPr>
              <w:t xml:space="preserve"> </w:t>
            </w:r>
            <w:r w:rsidR="00675B15">
              <w:rPr>
                <w:rStyle w:val="Voetnootmarkering"/>
                <w:noProof/>
                <w:sz w:val="22"/>
              </w:rPr>
              <w:footnoteReference w:id="9"/>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BRA-HOR</w:t>
            </w:r>
          </w:p>
        </w:tc>
        <w:tc>
          <w:tcPr>
            <w:tcW w:w="4186" w:type="dxa"/>
          </w:tcPr>
          <w:p w:rsidR="00683684" w:rsidRPr="00404ADF" w:rsidRDefault="00683684">
            <w:pPr>
              <w:rPr>
                <w:noProof/>
                <w:sz w:val="22"/>
              </w:rPr>
            </w:pPr>
            <w:r w:rsidRPr="00404ADF">
              <w:rPr>
                <w:noProof/>
                <w:sz w:val="22"/>
              </w:rPr>
              <w:t>Hernoemen openbare ruimte</w:t>
            </w:r>
          </w:p>
        </w:tc>
        <w:tc>
          <w:tcPr>
            <w:tcW w:w="3069" w:type="dxa"/>
          </w:tcPr>
          <w:p w:rsidR="00683684" w:rsidRPr="00404ADF" w:rsidRDefault="00683684" w:rsidP="00443C6D">
            <w:pPr>
              <w:rPr>
                <w:noProof/>
                <w:sz w:val="22"/>
              </w:rPr>
            </w:pPr>
            <w:r w:rsidRPr="00404ADF">
              <w:rPr>
                <w:noProof/>
                <w:sz w:val="22"/>
              </w:rPr>
              <w:t>Optioneel, afh. leverancier</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BRA-GHO</w:t>
            </w:r>
          </w:p>
        </w:tc>
        <w:tc>
          <w:tcPr>
            <w:tcW w:w="4186" w:type="dxa"/>
          </w:tcPr>
          <w:p w:rsidR="00683684" w:rsidRPr="00404ADF" w:rsidRDefault="00683684">
            <w:pPr>
              <w:rPr>
                <w:noProof/>
                <w:sz w:val="22"/>
              </w:rPr>
            </w:pPr>
            <w:r w:rsidRPr="00404ADF">
              <w:rPr>
                <w:noProof/>
                <w:sz w:val="22"/>
              </w:rPr>
              <w:t>Gedeeltelijk hernoemen openbare ruimte</w:t>
            </w:r>
          </w:p>
        </w:tc>
        <w:tc>
          <w:tcPr>
            <w:tcW w:w="3069" w:type="dxa"/>
          </w:tcPr>
          <w:p w:rsidR="00683684" w:rsidRPr="00404ADF" w:rsidRDefault="00683684" w:rsidP="00443C6D">
            <w:pPr>
              <w:rPr>
                <w:noProof/>
                <w:sz w:val="22"/>
              </w:rPr>
            </w:pPr>
            <w:r w:rsidRPr="00404ADF">
              <w:rPr>
                <w:noProof/>
                <w:sz w:val="22"/>
              </w:rPr>
              <w:t>Optioneel, afh. leverancier</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BRA-HOB</w:t>
            </w:r>
          </w:p>
        </w:tc>
        <w:tc>
          <w:tcPr>
            <w:tcW w:w="4186" w:type="dxa"/>
          </w:tcPr>
          <w:p w:rsidR="00683684" w:rsidRPr="00404ADF" w:rsidRDefault="00683684">
            <w:pPr>
              <w:rPr>
                <w:noProof/>
                <w:sz w:val="22"/>
              </w:rPr>
            </w:pPr>
            <w:r w:rsidRPr="00404ADF">
              <w:rPr>
                <w:noProof/>
                <w:sz w:val="22"/>
              </w:rPr>
              <w:t>Hernoemen openbare ruimte buur</w:t>
            </w:r>
            <w:r w:rsidRPr="00404ADF">
              <w:rPr>
                <w:noProof/>
                <w:sz w:val="22"/>
              </w:rPr>
              <w:softHyphen/>
              <w:t>gemeente</w:t>
            </w:r>
          </w:p>
        </w:tc>
        <w:tc>
          <w:tcPr>
            <w:tcW w:w="3069" w:type="dxa"/>
          </w:tcPr>
          <w:p w:rsidR="00683684" w:rsidRPr="00404ADF" w:rsidRDefault="00683684" w:rsidP="00443C6D">
            <w:pPr>
              <w:rPr>
                <w:noProof/>
                <w:sz w:val="22"/>
              </w:rPr>
            </w:pPr>
            <w:r w:rsidRPr="00404ADF">
              <w:rPr>
                <w:noProof/>
                <w:sz w:val="22"/>
              </w:rPr>
              <w:t>Optioneel, afh. leverancier</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BRA-IOR</w:t>
            </w:r>
          </w:p>
        </w:tc>
        <w:tc>
          <w:tcPr>
            <w:tcW w:w="4186" w:type="dxa"/>
          </w:tcPr>
          <w:p w:rsidR="00683684" w:rsidRPr="00404ADF" w:rsidRDefault="00683684">
            <w:pPr>
              <w:rPr>
                <w:noProof/>
                <w:sz w:val="22"/>
              </w:rPr>
            </w:pPr>
            <w:r w:rsidRPr="00404ADF">
              <w:rPr>
                <w:noProof/>
                <w:sz w:val="22"/>
              </w:rPr>
              <w:t>Intrekken openbare ruimte</w:t>
            </w:r>
          </w:p>
        </w:tc>
        <w:tc>
          <w:tcPr>
            <w:tcW w:w="3069" w:type="dxa"/>
          </w:tcPr>
          <w:p w:rsidR="00683684" w:rsidRPr="00404ADF" w:rsidRDefault="00683684" w:rsidP="00443C6D">
            <w:pPr>
              <w:rPr>
                <w:noProof/>
                <w:sz w:val="22"/>
              </w:rPr>
            </w:pPr>
            <w:r w:rsidRPr="00404ADF">
              <w:rPr>
                <w:noProof/>
                <w:sz w:val="22"/>
              </w:rPr>
              <w:t>Optioneel, afh. leverancier</w:t>
            </w:r>
          </w:p>
        </w:tc>
      </w:tr>
    </w:tbl>
    <w:p w:rsidR="00683684" w:rsidRPr="00E75903" w:rsidRDefault="00683684" w:rsidP="00683684">
      <w:pPr>
        <w:jc w:val="both"/>
      </w:pPr>
    </w:p>
    <w:tbl>
      <w:tblPr>
        <w:tblStyle w:val="Tabelraster"/>
        <w:tblW w:w="0" w:type="auto"/>
        <w:shd w:val="clear" w:color="auto" w:fill="99CCFF"/>
        <w:tblLook w:val="00BF" w:firstRow="1" w:lastRow="0" w:firstColumn="1" w:lastColumn="0" w:noHBand="0" w:noVBand="0"/>
      </w:tblPr>
      <w:tblGrid>
        <w:gridCol w:w="1951"/>
        <w:gridCol w:w="4186"/>
        <w:gridCol w:w="3069"/>
      </w:tblGrid>
      <w:tr w:rsidR="00683684">
        <w:tc>
          <w:tcPr>
            <w:tcW w:w="9206" w:type="dxa"/>
            <w:gridSpan w:val="3"/>
            <w:shd w:val="clear" w:color="auto" w:fill="99CCFF"/>
          </w:tcPr>
          <w:p w:rsidR="00683684" w:rsidRDefault="00683684" w:rsidP="00443C6D">
            <w:pPr>
              <w:jc w:val="both"/>
            </w:pPr>
            <w:r>
              <w:t>Deelproces: Behandelen terugmelding</w:t>
            </w:r>
          </w:p>
        </w:tc>
      </w:tr>
      <w:tr w:rsidR="00683684" w:rsidRPr="00404ADF">
        <w:tblPrEx>
          <w:shd w:val="clear" w:color="auto" w:fill="auto"/>
          <w:tblLook w:val="04A0" w:firstRow="1" w:lastRow="0" w:firstColumn="1" w:lastColumn="0" w:noHBand="0" w:noVBand="1"/>
        </w:tblPrEx>
        <w:tc>
          <w:tcPr>
            <w:tcW w:w="1951" w:type="dxa"/>
          </w:tcPr>
          <w:p w:rsidR="00683684" w:rsidRPr="00404ADF" w:rsidRDefault="00683684" w:rsidP="00443C6D">
            <w:pPr>
              <w:rPr>
                <w:noProof/>
                <w:sz w:val="22"/>
              </w:rPr>
            </w:pPr>
            <w:r w:rsidRPr="00404ADF">
              <w:rPr>
                <w:noProof/>
                <w:sz w:val="22"/>
              </w:rPr>
              <w:t>BGR-COG</w:t>
            </w:r>
          </w:p>
        </w:tc>
        <w:tc>
          <w:tcPr>
            <w:tcW w:w="4186" w:type="dxa"/>
          </w:tcPr>
          <w:p w:rsidR="00683684" w:rsidRPr="00404ADF" w:rsidRDefault="00683684">
            <w:pPr>
              <w:rPr>
                <w:noProof/>
                <w:sz w:val="22"/>
              </w:rPr>
            </w:pPr>
            <w:r w:rsidRPr="00404ADF">
              <w:rPr>
                <w:noProof/>
                <w:sz w:val="22"/>
              </w:rPr>
              <w:t>Constatering nieuw object</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PrEx>
        <w:tc>
          <w:tcPr>
            <w:tcW w:w="1951" w:type="dxa"/>
          </w:tcPr>
          <w:p w:rsidR="00683684" w:rsidRPr="00404ADF" w:rsidRDefault="00683684" w:rsidP="00443C6D">
            <w:pPr>
              <w:rPr>
                <w:noProof/>
                <w:sz w:val="22"/>
              </w:rPr>
            </w:pPr>
            <w:r w:rsidRPr="00404ADF">
              <w:rPr>
                <w:noProof/>
                <w:sz w:val="22"/>
              </w:rPr>
              <w:t>BAG-AOC</w:t>
            </w:r>
          </w:p>
        </w:tc>
        <w:tc>
          <w:tcPr>
            <w:tcW w:w="4186" w:type="dxa"/>
          </w:tcPr>
          <w:p w:rsidR="00683684" w:rsidRPr="00404ADF" w:rsidRDefault="00683684">
            <w:pPr>
              <w:rPr>
                <w:noProof/>
                <w:sz w:val="22"/>
              </w:rPr>
            </w:pPr>
            <w:r w:rsidRPr="00404ADF">
              <w:rPr>
                <w:sz w:val="22"/>
              </w:rPr>
              <w:t>Archivering bestaand object na con</w:t>
            </w:r>
            <w:r w:rsidRPr="00404ADF">
              <w:rPr>
                <w:sz w:val="22"/>
              </w:rPr>
              <w:softHyphen/>
              <w:t>sta</w:t>
            </w:r>
            <w:r w:rsidRPr="00404ADF">
              <w:rPr>
                <w:sz w:val="22"/>
              </w:rPr>
              <w:softHyphen/>
              <w:t>tering</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PrEx>
        <w:tc>
          <w:tcPr>
            <w:tcW w:w="1951" w:type="dxa"/>
          </w:tcPr>
          <w:p w:rsidR="00683684" w:rsidRPr="00404ADF" w:rsidRDefault="00683684" w:rsidP="00443C6D">
            <w:pPr>
              <w:rPr>
                <w:noProof/>
                <w:sz w:val="22"/>
              </w:rPr>
            </w:pPr>
            <w:r w:rsidRPr="00404ADF">
              <w:rPr>
                <w:noProof/>
                <w:sz w:val="22"/>
              </w:rPr>
              <w:t>BAG-AGO</w:t>
            </w:r>
          </w:p>
        </w:tc>
        <w:tc>
          <w:tcPr>
            <w:tcW w:w="4186" w:type="dxa"/>
          </w:tcPr>
          <w:p w:rsidR="00683684" w:rsidRPr="00404ADF" w:rsidRDefault="00683684">
            <w:pPr>
              <w:rPr>
                <w:noProof/>
                <w:sz w:val="22"/>
              </w:rPr>
            </w:pPr>
            <w:r w:rsidRPr="00404ADF">
              <w:rPr>
                <w:sz w:val="22"/>
              </w:rPr>
              <w:t>Archivering geconstateerd object</w:t>
            </w:r>
          </w:p>
        </w:tc>
        <w:tc>
          <w:tcPr>
            <w:tcW w:w="3069" w:type="dxa"/>
          </w:tcPr>
          <w:p w:rsidR="00683684" w:rsidRPr="00404ADF" w:rsidRDefault="00683684" w:rsidP="00443C6D">
            <w:pPr>
              <w:rPr>
                <w:noProof/>
                <w:sz w:val="22"/>
              </w:rPr>
            </w:pPr>
            <w:r w:rsidRPr="00404ADF">
              <w:rPr>
                <w:noProof/>
                <w:sz w:val="22"/>
              </w:rPr>
              <w:t>Wordt ondersteund</w:t>
            </w:r>
          </w:p>
        </w:tc>
      </w:tr>
      <w:tr w:rsidR="00683684" w:rsidRPr="00404ADF">
        <w:tblPrEx>
          <w:shd w:val="clear" w:color="auto" w:fill="auto"/>
        </w:tblPrEx>
        <w:tc>
          <w:tcPr>
            <w:tcW w:w="1951" w:type="dxa"/>
          </w:tcPr>
          <w:p w:rsidR="00683684" w:rsidRPr="00404ADF" w:rsidRDefault="00683684" w:rsidP="00443C6D">
            <w:pPr>
              <w:rPr>
                <w:noProof/>
                <w:sz w:val="22"/>
              </w:rPr>
            </w:pPr>
            <w:r w:rsidRPr="00404ADF">
              <w:rPr>
                <w:noProof/>
                <w:sz w:val="22"/>
              </w:rPr>
              <w:t>BAG-FGO</w:t>
            </w:r>
          </w:p>
        </w:tc>
        <w:tc>
          <w:tcPr>
            <w:tcW w:w="4186" w:type="dxa"/>
          </w:tcPr>
          <w:p w:rsidR="00683684" w:rsidRPr="00404ADF" w:rsidRDefault="00683684">
            <w:pPr>
              <w:rPr>
                <w:sz w:val="22"/>
              </w:rPr>
            </w:pPr>
            <w:r w:rsidRPr="00404ADF">
              <w:rPr>
                <w:noProof/>
                <w:sz w:val="22"/>
              </w:rPr>
              <w:t>Formalisering geconstateerd object</w:t>
            </w:r>
          </w:p>
        </w:tc>
        <w:tc>
          <w:tcPr>
            <w:tcW w:w="3069" w:type="dxa"/>
          </w:tcPr>
          <w:p w:rsidR="00683684" w:rsidRPr="00404ADF" w:rsidRDefault="00683684" w:rsidP="00443C6D">
            <w:pPr>
              <w:rPr>
                <w:noProof/>
                <w:sz w:val="22"/>
              </w:rPr>
            </w:pPr>
            <w:r w:rsidRPr="00404ADF">
              <w:rPr>
                <w:noProof/>
                <w:sz w:val="22"/>
              </w:rPr>
              <w:t>Geen relevantie GBA</w:t>
            </w:r>
          </w:p>
        </w:tc>
      </w:tr>
      <w:tr w:rsidR="00683684" w:rsidRPr="00404ADF">
        <w:tblPrEx>
          <w:shd w:val="clear" w:color="auto" w:fill="auto"/>
        </w:tblPrEx>
        <w:tc>
          <w:tcPr>
            <w:tcW w:w="1951" w:type="dxa"/>
          </w:tcPr>
          <w:p w:rsidR="00683684" w:rsidRPr="00404ADF" w:rsidRDefault="00683684" w:rsidP="00443C6D">
            <w:pPr>
              <w:rPr>
                <w:noProof/>
                <w:sz w:val="22"/>
              </w:rPr>
            </w:pPr>
            <w:r w:rsidRPr="00404ADF">
              <w:rPr>
                <w:noProof/>
                <w:sz w:val="22"/>
              </w:rPr>
              <w:t>BAG-HLG</w:t>
            </w:r>
          </w:p>
        </w:tc>
        <w:tc>
          <w:tcPr>
            <w:tcW w:w="4186" w:type="dxa"/>
          </w:tcPr>
          <w:p w:rsidR="00683684" w:rsidRPr="00404ADF" w:rsidRDefault="00683684">
            <w:pPr>
              <w:rPr>
                <w:sz w:val="22"/>
              </w:rPr>
            </w:pPr>
            <w:r w:rsidRPr="00404ADF">
              <w:rPr>
                <w:noProof/>
                <w:sz w:val="22"/>
              </w:rPr>
              <w:t>Heropname legitiem gegeven</w:t>
            </w:r>
          </w:p>
        </w:tc>
        <w:tc>
          <w:tcPr>
            <w:tcW w:w="3069" w:type="dxa"/>
          </w:tcPr>
          <w:p w:rsidR="00683684" w:rsidRPr="00404ADF" w:rsidRDefault="00683684" w:rsidP="00443C6D">
            <w:pPr>
              <w:rPr>
                <w:noProof/>
                <w:sz w:val="22"/>
              </w:rPr>
            </w:pPr>
            <w:r w:rsidRPr="00404ADF">
              <w:rPr>
                <w:noProof/>
                <w:sz w:val="22"/>
              </w:rPr>
              <w:t>Toekomstige versies</w:t>
            </w:r>
          </w:p>
        </w:tc>
      </w:tr>
    </w:tbl>
    <w:p w:rsidR="00683684" w:rsidRDefault="00683684" w:rsidP="00683684">
      <w:pPr>
        <w:jc w:val="both"/>
      </w:pPr>
    </w:p>
    <w:p w:rsidR="00683684" w:rsidRDefault="00683684" w:rsidP="00683684">
      <w:pPr>
        <w:jc w:val="both"/>
      </w:pPr>
      <w:r>
        <w:t>Naast het bijwerken van de overeenkomstige GBA-gegevens na BAG-mutaties, moet er altijd rekening worden gehouden met gevolgen voor de bewoners van een verblijfplaats, zodat er in die gevallen vervolgacties vanuit de GBA nodig zijn. In de processen is aan</w:t>
      </w:r>
      <w:r>
        <w:softHyphen/>
        <w:t>ge</w:t>
      </w:r>
      <w:r>
        <w:softHyphen/>
        <w:t>ge</w:t>
      </w:r>
      <w:r>
        <w:softHyphen/>
        <w:t>ven in welke situaties dit het geval is.</w:t>
      </w:r>
    </w:p>
    <w:p w:rsidR="00683684" w:rsidRDefault="00683684" w:rsidP="00683684">
      <w:pPr>
        <w:jc w:val="both"/>
      </w:pPr>
    </w:p>
    <w:p w:rsidR="00683684" w:rsidRDefault="00683684" w:rsidP="00683684">
      <w:pPr>
        <w:jc w:val="both"/>
      </w:pPr>
    </w:p>
    <w:p w:rsidR="00683684" w:rsidRPr="007B6F8A" w:rsidRDefault="00683684" w:rsidP="00054ED3">
      <w:pPr>
        <w:pStyle w:val="Kop1"/>
      </w:pPr>
      <w:r>
        <w:br w:type="page"/>
      </w:r>
      <w:bookmarkStart w:id="18" w:name="_Toc161406705"/>
      <w:r>
        <w:lastRenderedPageBreak/>
        <w:t>Bijlage A. Toelichting u</w:t>
      </w:r>
      <w:r w:rsidRPr="007B6F8A">
        <w:t>itgangspunten</w:t>
      </w:r>
      <w:bookmarkEnd w:id="18"/>
    </w:p>
    <w:p w:rsidR="00210963" w:rsidRDefault="00FA1AC3" w:rsidP="00683684">
      <w:pPr>
        <w:jc w:val="both"/>
      </w:pPr>
      <w:r>
        <w:t>Met de invoering van de BAG</w:t>
      </w:r>
      <w:r w:rsidR="00A828B8">
        <w:t>,</w:t>
      </w:r>
      <w:r>
        <w:t xml:space="preserve"> </w:t>
      </w:r>
      <w:r w:rsidR="00210963">
        <w:t xml:space="preserve">en de koppeling van de GBA </w:t>
      </w:r>
      <w:r w:rsidR="00273897">
        <w:t>met</w:t>
      </w:r>
      <w:r w:rsidR="00210963">
        <w:t xml:space="preserve"> de BAG</w:t>
      </w:r>
      <w:r w:rsidR="00A828B8">
        <w:t>,</w:t>
      </w:r>
      <w:r w:rsidR="00210963">
        <w:t xml:space="preserve"> wordt de verblijfplaats de kern waar persoonsgegevens </w:t>
      </w:r>
      <w:r w:rsidR="00A02B27">
        <w:t>mee</w:t>
      </w:r>
      <w:r w:rsidR="002C6937">
        <w:t xml:space="preserve"> verbonden worden</w:t>
      </w:r>
      <w:r w:rsidR="00210963">
        <w:t>.</w:t>
      </w:r>
      <w:r w:rsidR="002C6937">
        <w:t xml:space="preserve"> Een verblijfplaats is een </w:t>
      </w:r>
      <w:r w:rsidR="002C6937" w:rsidRPr="00655585">
        <w:rPr>
          <w:i/>
        </w:rPr>
        <w:t>adresseerbaar object</w:t>
      </w:r>
      <w:r w:rsidR="002C6937">
        <w:t xml:space="preserve"> in de BAG: een </w:t>
      </w:r>
      <w:r w:rsidR="00B95B99">
        <w:rPr>
          <w:i/>
        </w:rPr>
        <w:t>V</w:t>
      </w:r>
      <w:r w:rsidR="002C6937" w:rsidRPr="00A02B27">
        <w:rPr>
          <w:i/>
        </w:rPr>
        <w:t>erblijfsobject</w:t>
      </w:r>
      <w:r w:rsidR="002C6937">
        <w:t xml:space="preserve">, een </w:t>
      </w:r>
      <w:r w:rsidR="00B95B99">
        <w:rPr>
          <w:i/>
        </w:rPr>
        <w:t>S</w:t>
      </w:r>
      <w:r w:rsidR="002C6937" w:rsidRPr="00A02B27">
        <w:rPr>
          <w:i/>
        </w:rPr>
        <w:t>tand</w:t>
      </w:r>
      <w:r w:rsidR="0046453F">
        <w:rPr>
          <w:i/>
        </w:rPr>
        <w:softHyphen/>
      </w:r>
      <w:r w:rsidR="002C6937" w:rsidRPr="00A02B27">
        <w:rPr>
          <w:i/>
        </w:rPr>
        <w:t>plaats</w:t>
      </w:r>
      <w:r w:rsidR="002C6937">
        <w:t xml:space="preserve"> of een </w:t>
      </w:r>
      <w:r w:rsidR="00B95B99">
        <w:rPr>
          <w:i/>
        </w:rPr>
        <w:t>L</w:t>
      </w:r>
      <w:r w:rsidR="002C6937" w:rsidRPr="00A02B27">
        <w:rPr>
          <w:i/>
        </w:rPr>
        <w:t>igplaats</w:t>
      </w:r>
      <w:r w:rsidR="002C6937">
        <w:t>.</w:t>
      </w:r>
      <w:r w:rsidR="002B3089">
        <w:t xml:space="preserve"> Deze worden uniek geadres</w:t>
      </w:r>
      <w:r w:rsidR="002B3089">
        <w:softHyphen/>
        <w:t xml:space="preserve">seerd door de </w:t>
      </w:r>
      <w:r w:rsidR="00A02B27">
        <w:t>aanduiding van:</w:t>
      </w:r>
    </w:p>
    <w:p w:rsidR="002B3089" w:rsidRPr="00E672B3" w:rsidRDefault="002B3089" w:rsidP="002B3089">
      <w:pPr>
        <w:pStyle w:val="Lijstalinea"/>
        <w:numPr>
          <w:ilvl w:val="0"/>
          <w:numId w:val="21"/>
        </w:numPr>
        <w:jc w:val="both"/>
        <w:rPr>
          <w:sz w:val="22"/>
        </w:rPr>
      </w:pPr>
      <w:r w:rsidRPr="00E672B3">
        <w:rPr>
          <w:sz w:val="22"/>
        </w:rPr>
        <w:t>Woonplaats</w:t>
      </w:r>
      <w:r w:rsidR="00833B88">
        <w:rPr>
          <w:sz w:val="22"/>
        </w:rPr>
        <w:t>.</w:t>
      </w:r>
    </w:p>
    <w:p w:rsidR="002B3089" w:rsidRPr="00E672B3" w:rsidRDefault="00A02B27" w:rsidP="002B3089">
      <w:pPr>
        <w:pStyle w:val="Lijstalinea"/>
        <w:numPr>
          <w:ilvl w:val="0"/>
          <w:numId w:val="21"/>
        </w:numPr>
        <w:jc w:val="both"/>
        <w:rPr>
          <w:sz w:val="22"/>
        </w:rPr>
      </w:pPr>
      <w:r>
        <w:rPr>
          <w:sz w:val="22"/>
        </w:rPr>
        <w:t>O</w:t>
      </w:r>
      <w:r w:rsidR="002B3089" w:rsidRPr="00E672B3">
        <w:rPr>
          <w:sz w:val="22"/>
        </w:rPr>
        <w:t>penbare ruimte</w:t>
      </w:r>
      <w:r w:rsidR="00833B88">
        <w:rPr>
          <w:sz w:val="22"/>
        </w:rPr>
        <w:t>.</w:t>
      </w:r>
    </w:p>
    <w:p w:rsidR="002B3089" w:rsidRPr="00E672B3" w:rsidRDefault="002B3089" w:rsidP="002B3089">
      <w:pPr>
        <w:pStyle w:val="Lijstalinea"/>
        <w:numPr>
          <w:ilvl w:val="0"/>
          <w:numId w:val="21"/>
        </w:numPr>
        <w:jc w:val="both"/>
        <w:rPr>
          <w:sz w:val="22"/>
        </w:rPr>
      </w:pPr>
      <w:r w:rsidRPr="00E672B3">
        <w:rPr>
          <w:sz w:val="22"/>
        </w:rPr>
        <w:t>Nummeraanduiding</w:t>
      </w:r>
      <w:r w:rsidR="00833B88">
        <w:rPr>
          <w:sz w:val="22"/>
        </w:rPr>
        <w:t>.</w:t>
      </w:r>
    </w:p>
    <w:p w:rsidR="00833B88" w:rsidRDefault="00833B88" w:rsidP="00683684">
      <w:pPr>
        <w:jc w:val="both"/>
      </w:pPr>
    </w:p>
    <w:p w:rsidR="0059179B" w:rsidRDefault="00E62F79" w:rsidP="00683684">
      <w:pPr>
        <w:jc w:val="both"/>
      </w:pPr>
      <w:r>
        <w:t>In de nieuwe situatie</w:t>
      </w:r>
      <w:r w:rsidR="00E359B4">
        <w:t xml:space="preserve"> </w:t>
      </w:r>
      <w:r w:rsidR="00EE36BB">
        <w:t>worden</w:t>
      </w:r>
      <w:r w:rsidR="00E359B4">
        <w:t xml:space="preserve"> </w:t>
      </w:r>
      <w:r w:rsidR="00EE36BB">
        <w:t>persoonsgegevens dus gekoppeld aan</w:t>
      </w:r>
      <w:r w:rsidR="00E359B4">
        <w:t xml:space="preserve"> d</w:t>
      </w:r>
      <w:r w:rsidR="00AE70A5">
        <w:t>e verblijfplaats als BAG-object</w:t>
      </w:r>
      <w:r w:rsidR="00E359B4">
        <w:t xml:space="preserve"> en niet meer </w:t>
      </w:r>
      <w:r w:rsidR="00EE36BB">
        <w:t>aan</w:t>
      </w:r>
      <w:r w:rsidR="00E359B4">
        <w:t xml:space="preserve"> het adres, hoewel </w:t>
      </w:r>
      <w:r w:rsidR="00655585">
        <w:t xml:space="preserve">de aanduiding van </w:t>
      </w:r>
      <w:r w:rsidR="00EE36BB">
        <w:t>dit</w:t>
      </w:r>
      <w:r w:rsidR="00655585">
        <w:t xml:space="preserve"> adres</w:t>
      </w:r>
      <w:r w:rsidR="00AE70A5">
        <w:t xml:space="preserve"> overeenkomt met het </w:t>
      </w:r>
      <w:r w:rsidR="00655585">
        <w:t>vroeger</w:t>
      </w:r>
      <w:r w:rsidR="00AE70A5">
        <w:t>e</w:t>
      </w:r>
      <w:r w:rsidR="00655585">
        <w:t xml:space="preserve"> adres van inschrijving</w:t>
      </w:r>
      <w:r w:rsidR="00E359B4">
        <w:t xml:space="preserve">. </w:t>
      </w:r>
      <w:r w:rsidR="00F51ADC">
        <w:t>De koppeling komt tot stand</w:t>
      </w:r>
      <w:r w:rsidR="0059179B">
        <w:t xml:space="preserve"> door op de persoonslijst in de GBA vier ele</w:t>
      </w:r>
      <w:r w:rsidR="00F51ADC">
        <w:softHyphen/>
      </w:r>
      <w:r w:rsidR="0059179B">
        <w:t>men</w:t>
      </w:r>
      <w:r w:rsidR="00F51ADC">
        <w:softHyphen/>
      </w:r>
      <w:r w:rsidR="0059179B">
        <w:t xml:space="preserve">ten op te nemen </w:t>
      </w:r>
      <w:r w:rsidR="00800D98">
        <w:t xml:space="preserve">(in groep 11 van de GBA) </w:t>
      </w:r>
      <w:r w:rsidR="0059179B">
        <w:t>die het verband met de BAG aangeven</w:t>
      </w:r>
      <w:r w:rsidR="006F4BD5">
        <w:t>.</w:t>
      </w:r>
      <w:r w:rsidR="006F4BD5" w:rsidRPr="006F4BD5">
        <w:t xml:space="preserve"> </w:t>
      </w:r>
      <w:r w:rsidR="006F4BD5">
        <w:t xml:space="preserve">Zie het </w:t>
      </w:r>
      <w:r w:rsidR="006F4BD5" w:rsidRPr="00E56625">
        <w:t>Logisch Ontwerp 3.7</w:t>
      </w:r>
      <w:r w:rsidR="006F4BD5">
        <w:t xml:space="preserve"> (LO 3.7) van de GBA</w:t>
      </w:r>
      <w:r w:rsidR="0059179B">
        <w:t>:</w:t>
      </w:r>
    </w:p>
    <w:p w:rsidR="0059179B" w:rsidRPr="00E672B3" w:rsidRDefault="0059179B" w:rsidP="0059179B">
      <w:pPr>
        <w:pStyle w:val="Lijstalinea"/>
        <w:numPr>
          <w:ilvl w:val="0"/>
          <w:numId w:val="21"/>
        </w:numPr>
        <w:jc w:val="both"/>
        <w:rPr>
          <w:sz w:val="22"/>
        </w:rPr>
      </w:pPr>
      <w:r w:rsidRPr="00E672B3">
        <w:rPr>
          <w:sz w:val="22"/>
        </w:rPr>
        <w:t>Naam openbare ruimte</w:t>
      </w:r>
      <w:r>
        <w:rPr>
          <w:sz w:val="22"/>
        </w:rPr>
        <w:t>.</w:t>
      </w:r>
    </w:p>
    <w:p w:rsidR="0059179B" w:rsidRPr="00E672B3" w:rsidRDefault="00F02F0A" w:rsidP="0059179B">
      <w:pPr>
        <w:pStyle w:val="Lijstalinea"/>
        <w:numPr>
          <w:ilvl w:val="0"/>
          <w:numId w:val="21"/>
        </w:numPr>
        <w:jc w:val="both"/>
        <w:rPr>
          <w:sz w:val="22"/>
        </w:rPr>
      </w:pPr>
      <w:r>
        <w:rPr>
          <w:sz w:val="22"/>
        </w:rPr>
        <w:t>Woonplaatsnaam</w:t>
      </w:r>
      <w:r w:rsidR="0059179B">
        <w:rPr>
          <w:sz w:val="22"/>
        </w:rPr>
        <w:t>.</w:t>
      </w:r>
    </w:p>
    <w:p w:rsidR="0059179B" w:rsidRPr="00E672B3" w:rsidRDefault="0059179B" w:rsidP="0059179B">
      <w:pPr>
        <w:pStyle w:val="Lijstalinea"/>
        <w:numPr>
          <w:ilvl w:val="0"/>
          <w:numId w:val="21"/>
        </w:numPr>
        <w:jc w:val="both"/>
        <w:rPr>
          <w:sz w:val="22"/>
        </w:rPr>
      </w:pPr>
      <w:r>
        <w:rPr>
          <w:sz w:val="22"/>
        </w:rPr>
        <w:t>Identificatiecode verblijfplaats.</w:t>
      </w:r>
    </w:p>
    <w:p w:rsidR="0059179B" w:rsidRPr="00E672B3" w:rsidRDefault="0059179B" w:rsidP="0059179B">
      <w:pPr>
        <w:pStyle w:val="Lijstalinea"/>
        <w:numPr>
          <w:ilvl w:val="0"/>
          <w:numId w:val="21"/>
        </w:numPr>
        <w:jc w:val="both"/>
        <w:rPr>
          <w:sz w:val="22"/>
        </w:rPr>
      </w:pPr>
      <w:r>
        <w:rPr>
          <w:sz w:val="22"/>
        </w:rPr>
        <w:t>Identificatiecode n</w:t>
      </w:r>
      <w:r w:rsidRPr="00E672B3">
        <w:rPr>
          <w:sz w:val="22"/>
        </w:rPr>
        <w:t>ummeraanduiding</w:t>
      </w:r>
      <w:r>
        <w:rPr>
          <w:sz w:val="22"/>
        </w:rPr>
        <w:t>.</w:t>
      </w:r>
    </w:p>
    <w:p w:rsidR="00E57B91" w:rsidRDefault="00E57B91" w:rsidP="00683684">
      <w:pPr>
        <w:jc w:val="both"/>
      </w:pPr>
    </w:p>
    <w:p w:rsidR="00E57B91" w:rsidRDefault="00E57B91" w:rsidP="00683684">
      <w:pPr>
        <w:jc w:val="both"/>
      </w:pPr>
      <w:r>
        <w:t>Door het koppelen van de persoon (als GBA-object) aan een verblijfplaats (als BAG-object) is het adres niet meer het bepalende kenmerk, zodat adresveranderingen (zoals nieuwe straatnamen of hernummeringen) geen invloed meer op deze koppeling hebben.</w:t>
      </w:r>
      <w:r w:rsidR="0076776B">
        <w:t xml:space="preserve"> Dit wordt in de basisregistraties het “objectgericht denken” genoemd.</w:t>
      </w:r>
    </w:p>
    <w:p w:rsidR="00A02B27" w:rsidRDefault="00E164A9" w:rsidP="00683684">
      <w:pPr>
        <w:jc w:val="both"/>
      </w:pPr>
      <w:r>
        <w:t xml:space="preserve">Een persoon wordt ingeschreven op een verblijfplaats: het adresseerbare object uit de BAG. </w:t>
      </w:r>
      <w:r w:rsidR="00FC09BF">
        <w:t xml:space="preserve">De gemeente bepaalt hoe deze verblijfplaats wordt benoemd. </w:t>
      </w:r>
      <w:r w:rsidR="00E57B91">
        <w:t>Als er geen verbli</w:t>
      </w:r>
      <w:r w:rsidR="0076776B">
        <w:t xml:space="preserve">jfplaats aan te wijzen is, die aan de BAG kan worden ontleend, wordt de persoon met een </w:t>
      </w:r>
      <w:r w:rsidR="00B95B99">
        <w:rPr>
          <w:i/>
        </w:rPr>
        <w:t>L</w:t>
      </w:r>
      <w:r w:rsidR="0076776B" w:rsidRPr="0076776B">
        <w:rPr>
          <w:i/>
        </w:rPr>
        <w:t>ocatiebeschrijving</w:t>
      </w:r>
      <w:r w:rsidR="0076776B">
        <w:t xml:space="preserve"> ingeschreven (in groep 12 van de GBA)</w:t>
      </w:r>
      <w:r w:rsidR="002E284F">
        <w:t xml:space="preserve"> en is er dus geen relatie met de BAG te leggen</w:t>
      </w:r>
      <w:r w:rsidR="0076776B">
        <w:t>.</w:t>
      </w:r>
    </w:p>
    <w:p w:rsidR="009E1426" w:rsidRDefault="00946F8B" w:rsidP="00683684">
      <w:pPr>
        <w:jc w:val="both"/>
      </w:pPr>
      <w:r>
        <w:t xml:space="preserve">Na het inrichten van de BAG bij een gemeente worden, ter voorbereiding van het koppelen van de GBA aan de BAG, de adressen tussen GBA en BAG gesynchroniseerd. </w:t>
      </w:r>
      <w:r w:rsidR="00052721">
        <w:t>Bij overeenstemming van de adressen worden de vier gegevenselementen</w:t>
      </w:r>
      <w:r w:rsidR="00EC229C">
        <w:t xml:space="preserve"> (n</w:t>
      </w:r>
      <w:r w:rsidR="00EC229C" w:rsidRPr="00E672B3">
        <w:t>aam openbare ruimte</w:t>
      </w:r>
      <w:r w:rsidR="00EC229C">
        <w:t>,</w:t>
      </w:r>
      <w:r w:rsidR="00EC229C" w:rsidRPr="00EC229C">
        <w:t xml:space="preserve"> </w:t>
      </w:r>
      <w:r w:rsidR="00F02F0A">
        <w:t xml:space="preserve">woonplaatsnaam </w:t>
      </w:r>
      <w:r w:rsidR="00EC229C">
        <w:t>en de twee Identificatiecode</w:t>
      </w:r>
      <w:r w:rsidR="00F02F0A">
        <w:t>s)</w:t>
      </w:r>
      <w:r w:rsidR="009B0664">
        <w:t xml:space="preserve"> aan de BAG ontleend en in de persoonslijst opgenomen. </w:t>
      </w:r>
      <w:r w:rsidR="007B7D86">
        <w:t>Als er geen overeen</w:t>
      </w:r>
      <w:r w:rsidR="007B7D86">
        <w:softHyphen/>
        <w:t xml:space="preserve">stemming is wordt het adres in de GBA ‘in onderzoek’ geplaatst, blijft het opnemen van de vier gegevenselementen achterwege en wordt onderzocht </w:t>
      </w:r>
      <w:r w:rsidR="00362201">
        <w:t xml:space="preserve">hoe dit te herstellen is. Bij twijfel aan de juistheid van het adres in de BAG wordt een terugmelding naar de BAG gedaan en wordt aan de hand van het resultaat zo mogelijk de overeenstemming tussen </w:t>
      </w:r>
      <w:r w:rsidR="00FA49CE">
        <w:t xml:space="preserve">GBA </w:t>
      </w:r>
      <w:r w:rsidR="00362201">
        <w:t xml:space="preserve">en </w:t>
      </w:r>
      <w:r w:rsidR="00FA49CE">
        <w:t xml:space="preserve">BAG </w:t>
      </w:r>
      <w:r w:rsidR="00362201">
        <w:t xml:space="preserve">hersteld. </w:t>
      </w:r>
      <w:r w:rsidR="00D2626D">
        <w:t>Als er geen adres</w:t>
      </w:r>
      <w:r w:rsidR="00D2626D">
        <w:softHyphen/>
        <w:t>seer</w:t>
      </w:r>
      <w:r w:rsidR="00D2626D">
        <w:softHyphen/>
        <w:t>baar object kan worden bepaald,</w:t>
      </w:r>
      <w:r w:rsidR="00416C24">
        <w:t xml:space="preserve"> wordt het adres in de GBA omgezet in een locatie</w:t>
      </w:r>
      <w:r w:rsidR="00D2626D">
        <w:softHyphen/>
      </w:r>
      <w:r w:rsidR="00416C24">
        <w:t>beschrijving.</w:t>
      </w:r>
    </w:p>
    <w:p w:rsidR="00210963" w:rsidRDefault="000C3572" w:rsidP="00683684">
      <w:pPr>
        <w:jc w:val="both"/>
      </w:pPr>
      <w:r>
        <w:t>Deze synchronisatie van de GBA en de BAG en het ontlenen van adresinformatie aan de BAG is een eenmalige activititeit, de initiële vulling, en wordt in deze handreiking verder niet als proces beschre</w:t>
      </w:r>
      <w:r>
        <w:softHyphen/>
        <w:t xml:space="preserve">ven. </w:t>
      </w:r>
      <w:r w:rsidR="00D353ED">
        <w:t xml:space="preserve">Vanaf de initiële vulling </w:t>
      </w:r>
      <w:r w:rsidR="00BB0E9B" w:rsidRPr="00E56625">
        <w:t>wordt de GBA bijgehouden via signalen uit de BAG, zodra zich gebeur</w:t>
      </w:r>
      <w:r w:rsidR="00D353ED">
        <w:softHyphen/>
      </w:r>
      <w:r w:rsidR="00BB0E9B" w:rsidRPr="00E56625">
        <w:t>tenissen voordoen die leiden tot toe</w:t>
      </w:r>
      <w:r w:rsidR="00BB0E9B" w:rsidRPr="00E56625">
        <w:softHyphen/>
        <w:t>voe</w:t>
      </w:r>
      <w:r w:rsidR="00BB0E9B" w:rsidRPr="00E56625">
        <w:softHyphen/>
        <w:t xml:space="preserve">gen, wijzigen of afvoeren van BAG-objecten. Zo blijft de GBA </w:t>
      </w:r>
      <w:r w:rsidR="00BB0E9B" w:rsidRPr="00E56625">
        <w:lastRenderedPageBreak/>
        <w:t>gesyn</w:t>
      </w:r>
      <w:r w:rsidR="00BB0E9B" w:rsidRPr="00E56625">
        <w:softHyphen/>
        <w:t>chro</w:t>
      </w:r>
      <w:r w:rsidR="00BB0E9B" w:rsidRPr="00E56625">
        <w:softHyphen/>
        <w:t>ni</w:t>
      </w:r>
      <w:r w:rsidR="00BB0E9B" w:rsidRPr="00E56625">
        <w:softHyphen/>
        <w:t>seerd met de BAG. Bij voorkeur gebeurt dit geautomatiseerd, maar er zijn situaties waarbij een BAG-mutatie tot aanvullende activiteiten bij de GBA leidt. Denk aan sloop of een cala</w:t>
      </w:r>
      <w:r w:rsidR="00D353ED">
        <w:softHyphen/>
      </w:r>
      <w:r w:rsidR="00BB0E9B" w:rsidRPr="00E56625">
        <w:t>mi</w:t>
      </w:r>
      <w:r w:rsidR="00D353ED">
        <w:softHyphen/>
      </w:r>
      <w:r w:rsidR="00BB0E9B" w:rsidRPr="00E56625">
        <w:t>teit, waarbij moet worden nage</w:t>
      </w:r>
      <w:r w:rsidR="00BB0E9B" w:rsidRPr="00E56625">
        <w:softHyphen/>
        <w:t xml:space="preserve">gaan welke gevolgen er zijn voor </w:t>
      </w:r>
      <w:r w:rsidR="00D353ED">
        <w:t xml:space="preserve">de </w:t>
      </w:r>
      <w:r w:rsidR="00BB0E9B" w:rsidRPr="00E56625">
        <w:t>op die plaats ingeschreven bewoner</w:t>
      </w:r>
      <w:r w:rsidR="00D353ED">
        <w:t>s</w:t>
      </w:r>
      <w:r w:rsidR="00EA3940">
        <w:t>.</w:t>
      </w:r>
    </w:p>
    <w:p w:rsidR="007B0ABA" w:rsidRDefault="00EA3940" w:rsidP="00683684">
      <w:pPr>
        <w:jc w:val="both"/>
      </w:pPr>
      <w:r>
        <w:t xml:space="preserve">Verder zijn </w:t>
      </w:r>
      <w:r w:rsidR="00683684">
        <w:t>de volgende uitgangspunten</w:t>
      </w:r>
      <w:r>
        <w:t xml:space="preserve"> van belang</w:t>
      </w:r>
      <w:r w:rsidR="00683684">
        <w:t>.</w:t>
      </w:r>
    </w:p>
    <w:p w:rsidR="00AA796C" w:rsidRDefault="00AA796C" w:rsidP="00AA796C">
      <w:pPr>
        <w:pStyle w:val="Lijstalinea"/>
        <w:numPr>
          <w:ilvl w:val="0"/>
          <w:numId w:val="24"/>
        </w:numPr>
        <w:jc w:val="both"/>
        <w:rPr>
          <w:sz w:val="22"/>
        </w:rPr>
      </w:pPr>
      <w:r>
        <w:rPr>
          <w:sz w:val="22"/>
        </w:rPr>
        <w:t xml:space="preserve">Een burger is wettelijk verplicht binnen 5 dagen aangifte te doen van vestiging binnen een gemeente. Er is in de wet geen termijn genoemd, waarbinnen de gemeente deze inschrijving moet voltooien, bijvoorbeeld als door onduidelijkheden of twijfel </w:t>
      </w:r>
      <w:r w:rsidR="004D01F0">
        <w:rPr>
          <w:sz w:val="22"/>
        </w:rPr>
        <w:t xml:space="preserve">aan de juistheid van het geïdentificeerde BAG-object </w:t>
      </w:r>
      <w:r>
        <w:rPr>
          <w:sz w:val="22"/>
        </w:rPr>
        <w:t>nader onderzoek moet worden verricht. Wel zal een redelijke termijn (enkele dagen) gehanteerd moeten worden. Sommige gemeenten hanteren daarom ook een termijn van 5 dagen voor de afwikkeling van de aangifte.</w:t>
      </w:r>
      <w:r w:rsidR="00725037">
        <w:rPr>
          <w:sz w:val="22"/>
        </w:rPr>
        <w:t xml:space="preserve"> Als de gemeente een beslissing heeft genomen over de aangifte, moet deze binnen één (werk-) dag in de GBA worden opgenomen.</w:t>
      </w:r>
    </w:p>
    <w:p w:rsidR="00B95B99" w:rsidRPr="00B95B99" w:rsidRDefault="00B95B99" w:rsidP="00B95B99">
      <w:pPr>
        <w:jc w:val="both"/>
        <w:rPr>
          <w:sz w:val="6"/>
        </w:rPr>
      </w:pPr>
    </w:p>
    <w:p w:rsidR="00683684" w:rsidRPr="00E56625" w:rsidRDefault="00683684" w:rsidP="00AA796C">
      <w:pPr>
        <w:pStyle w:val="Lijstalinea"/>
        <w:numPr>
          <w:ilvl w:val="0"/>
          <w:numId w:val="24"/>
        </w:numPr>
        <w:jc w:val="both"/>
        <w:rPr>
          <w:sz w:val="22"/>
        </w:rPr>
      </w:pPr>
      <w:r w:rsidRPr="00E56625">
        <w:rPr>
          <w:sz w:val="22"/>
        </w:rPr>
        <w:t xml:space="preserve">Bij de aangifte van eerste inschrijvingen, hervestiging vanuit het buitenland en verhuizingen is verificatie van het opgegeven adres </w:t>
      </w:r>
      <w:r w:rsidR="00EB1379">
        <w:rPr>
          <w:sz w:val="22"/>
        </w:rPr>
        <w:t xml:space="preserve">van de verblijfplaats </w:t>
      </w:r>
      <w:r w:rsidRPr="00E56625">
        <w:rPr>
          <w:sz w:val="22"/>
        </w:rPr>
        <w:t>aan de adresseerbare objec</w:t>
      </w:r>
      <w:r w:rsidRPr="00E56625">
        <w:rPr>
          <w:sz w:val="22"/>
        </w:rPr>
        <w:softHyphen/>
        <w:t>ten in de (actuele) BAG noodzakelijk</w:t>
      </w:r>
      <w:r w:rsidR="00193853">
        <w:rPr>
          <w:sz w:val="22"/>
        </w:rPr>
        <w:t>. Daarbij is ook controle van de status van die BAG-objecten van belang</w:t>
      </w:r>
      <w:r w:rsidR="00AE147E">
        <w:rPr>
          <w:sz w:val="22"/>
        </w:rPr>
        <w:t>, zoals de status bij bouw of sloop</w:t>
      </w:r>
      <w:r w:rsidR="00193853">
        <w:rPr>
          <w:sz w:val="22"/>
        </w:rPr>
        <w:t>: in een gesloopt pand kan immers niet gewoond worden</w:t>
      </w:r>
      <w:r w:rsidRPr="00E56625">
        <w:rPr>
          <w:sz w:val="22"/>
        </w:rPr>
        <w:t xml:space="preserve">. </w:t>
      </w:r>
      <w:r w:rsidR="00741818">
        <w:rPr>
          <w:sz w:val="22"/>
        </w:rPr>
        <w:t>Ook bij een afwijkend gebruiksdoel (geen woon</w:t>
      </w:r>
      <w:r w:rsidR="003A2BDE">
        <w:rPr>
          <w:sz w:val="22"/>
        </w:rPr>
        <w:t>functie</w:t>
      </w:r>
      <w:r w:rsidR="00741818">
        <w:rPr>
          <w:sz w:val="22"/>
        </w:rPr>
        <w:t xml:space="preserve">) is verdere verificatie van belang. </w:t>
      </w:r>
      <w:r w:rsidR="004E257B">
        <w:rPr>
          <w:sz w:val="22"/>
        </w:rPr>
        <w:t xml:space="preserve">Als de verificatie een positief resultaat heeft, worden de benodigde adresgegevens aan de BAG ontleend. </w:t>
      </w:r>
      <w:r w:rsidRPr="00E56625">
        <w:rPr>
          <w:sz w:val="22"/>
        </w:rPr>
        <w:t>Bij de afgifte van verkla</w:t>
      </w:r>
      <w:r w:rsidR="003A2BDE">
        <w:rPr>
          <w:sz w:val="22"/>
        </w:rPr>
        <w:softHyphen/>
      </w:r>
      <w:r w:rsidRPr="00E56625">
        <w:rPr>
          <w:sz w:val="22"/>
        </w:rPr>
        <w:t>ringen of reis</w:t>
      </w:r>
      <w:r w:rsidRPr="00E56625">
        <w:rPr>
          <w:sz w:val="22"/>
        </w:rPr>
        <w:softHyphen/>
        <w:t>do</w:t>
      </w:r>
      <w:r w:rsidRPr="00E56625">
        <w:rPr>
          <w:sz w:val="22"/>
        </w:rPr>
        <w:softHyphen/>
        <w:t>cu</w:t>
      </w:r>
      <w:r w:rsidRPr="00E56625">
        <w:rPr>
          <w:sz w:val="22"/>
        </w:rPr>
        <w:softHyphen/>
        <w:t>men</w:t>
      </w:r>
      <w:r w:rsidRPr="00E56625">
        <w:rPr>
          <w:sz w:val="22"/>
        </w:rPr>
        <w:softHyphen/>
        <w:t>ten kan worden volstaan met gebruik van de reeds in de GBA aanwe</w:t>
      </w:r>
      <w:r w:rsidR="00182ECA">
        <w:rPr>
          <w:sz w:val="22"/>
        </w:rPr>
        <w:softHyphen/>
      </w:r>
      <w:r w:rsidRPr="00E56625">
        <w:rPr>
          <w:sz w:val="22"/>
        </w:rPr>
        <w:t>zi</w:t>
      </w:r>
      <w:r w:rsidR="00182ECA">
        <w:rPr>
          <w:sz w:val="22"/>
        </w:rPr>
        <w:softHyphen/>
      </w:r>
      <w:r w:rsidRPr="00E56625">
        <w:rPr>
          <w:sz w:val="22"/>
        </w:rPr>
        <w:t>ge adresinforma</w:t>
      </w:r>
      <w:r w:rsidRPr="00E56625">
        <w:rPr>
          <w:sz w:val="22"/>
        </w:rPr>
        <w:softHyphen/>
        <w:t>tie.</w:t>
      </w:r>
    </w:p>
    <w:p w:rsidR="00683684" w:rsidRPr="00FC31FF" w:rsidRDefault="00683684" w:rsidP="00683684">
      <w:pPr>
        <w:jc w:val="both"/>
        <w:rPr>
          <w:sz w:val="6"/>
        </w:rPr>
      </w:pPr>
    </w:p>
    <w:p w:rsidR="00683684" w:rsidRPr="00E56625" w:rsidRDefault="00683684" w:rsidP="00683684">
      <w:pPr>
        <w:pStyle w:val="Lijstalinea"/>
        <w:numPr>
          <w:ilvl w:val="0"/>
          <w:numId w:val="24"/>
        </w:numPr>
        <w:jc w:val="both"/>
        <w:rPr>
          <w:sz w:val="22"/>
        </w:rPr>
      </w:pPr>
      <w:r w:rsidRPr="00E56625">
        <w:rPr>
          <w:sz w:val="22"/>
        </w:rPr>
        <w:t>Bij twijfel over een opgegeven adres, zoals het ontbreken van overeenkomst met de BAG, wordt het adres in de GBA ‘in onder</w:t>
      </w:r>
      <w:r w:rsidRPr="00E56625">
        <w:rPr>
          <w:sz w:val="22"/>
        </w:rPr>
        <w:softHyphen/>
        <w:t>zoek’ geplaatst en vindt er een terugmelding na</w:t>
      </w:r>
      <w:r w:rsidR="00EB1379">
        <w:rPr>
          <w:sz w:val="22"/>
        </w:rPr>
        <w:t>ar de gemeentelijke BAG plaats.</w:t>
      </w:r>
      <w:r w:rsidR="00231029">
        <w:rPr>
          <w:sz w:val="22"/>
        </w:rPr>
        <w:t xml:space="preserve"> Als de terugmelding niet binnen een redelijke termijn (enkele dagen) kan worden afgewikkeld worden de beschikbare gegevens gebruikt voor de inschrij</w:t>
      </w:r>
      <w:r w:rsidR="00F10282">
        <w:rPr>
          <w:sz w:val="22"/>
        </w:rPr>
        <w:softHyphen/>
      </w:r>
      <w:r w:rsidR="00231029">
        <w:rPr>
          <w:sz w:val="22"/>
        </w:rPr>
        <w:t>ving en wordt deze zonodig later (met het resultaat van de terugmelding) gecorrigeerd.</w:t>
      </w:r>
    </w:p>
    <w:p w:rsidR="00683684" w:rsidRPr="00FC31FF" w:rsidRDefault="00683684" w:rsidP="00683684">
      <w:pPr>
        <w:jc w:val="both"/>
        <w:rPr>
          <w:sz w:val="6"/>
        </w:rPr>
      </w:pPr>
    </w:p>
    <w:p w:rsidR="00683684" w:rsidRPr="00E56625" w:rsidRDefault="00683684" w:rsidP="00683684">
      <w:pPr>
        <w:pStyle w:val="Lijstalinea"/>
        <w:numPr>
          <w:ilvl w:val="0"/>
          <w:numId w:val="24"/>
        </w:numPr>
        <w:jc w:val="both"/>
        <w:rPr>
          <w:sz w:val="22"/>
        </w:rPr>
      </w:pPr>
      <w:r w:rsidRPr="00E56625">
        <w:rPr>
          <w:sz w:val="22"/>
        </w:rPr>
        <w:t>Als het onderzoek voor de terugmelding door de (gemeentelijke) BAG-beheerder niet binnen twee dagen tot resultaat leidt, wordt het object ook in de BAG ‘in onderzoek’ ge</w:t>
      </w:r>
      <w:r w:rsidRPr="00E56625">
        <w:rPr>
          <w:sz w:val="22"/>
        </w:rPr>
        <w:softHyphen/>
        <w:t xml:space="preserve">plaatst. Pas na voltooiing van het onderzoek kan de </w:t>
      </w:r>
      <w:r w:rsidR="00F10282">
        <w:rPr>
          <w:sz w:val="22"/>
        </w:rPr>
        <w:t xml:space="preserve">(definitieve) </w:t>
      </w:r>
      <w:r w:rsidRPr="00E56625">
        <w:rPr>
          <w:sz w:val="22"/>
        </w:rPr>
        <w:t>afwikkeling in BAG en GBA plaats vinden. De termijn van twee dagen voor de BAG heeft geen verdere gevolgen voor de afwik</w:t>
      </w:r>
      <w:r w:rsidR="00F10282">
        <w:rPr>
          <w:sz w:val="22"/>
        </w:rPr>
        <w:softHyphen/>
      </w:r>
      <w:r w:rsidRPr="00E56625">
        <w:rPr>
          <w:sz w:val="22"/>
        </w:rPr>
        <w:t>ke</w:t>
      </w:r>
      <w:r w:rsidRPr="00E56625">
        <w:rPr>
          <w:sz w:val="22"/>
        </w:rPr>
        <w:softHyphen/>
        <w:t>ling in de GBA. Het beïnvloedt alleen de totale doorlooptijd.</w:t>
      </w:r>
    </w:p>
    <w:p w:rsidR="00683684" w:rsidRPr="00FC31FF" w:rsidRDefault="00683684" w:rsidP="00683684">
      <w:pPr>
        <w:jc w:val="both"/>
        <w:rPr>
          <w:sz w:val="6"/>
        </w:rPr>
      </w:pPr>
    </w:p>
    <w:p w:rsidR="00683684" w:rsidRPr="00E56625" w:rsidRDefault="00683684" w:rsidP="00683684">
      <w:pPr>
        <w:pStyle w:val="Lijstalinea"/>
        <w:numPr>
          <w:ilvl w:val="0"/>
          <w:numId w:val="24"/>
        </w:numPr>
        <w:jc w:val="both"/>
        <w:rPr>
          <w:sz w:val="22"/>
        </w:rPr>
      </w:pPr>
      <w:r w:rsidRPr="00E56625">
        <w:rPr>
          <w:sz w:val="22"/>
        </w:rPr>
        <w:t xml:space="preserve">Indien bij </w:t>
      </w:r>
      <w:r w:rsidR="00F10282">
        <w:rPr>
          <w:sz w:val="22"/>
        </w:rPr>
        <w:t>de</w:t>
      </w:r>
      <w:r w:rsidRPr="00E56625">
        <w:rPr>
          <w:sz w:val="22"/>
        </w:rPr>
        <w:t xml:space="preserve"> onderzoek</w:t>
      </w:r>
      <w:r w:rsidR="00F10282">
        <w:rPr>
          <w:sz w:val="22"/>
        </w:rPr>
        <w:t>en</w:t>
      </w:r>
      <w:r w:rsidRPr="00E56625">
        <w:rPr>
          <w:sz w:val="22"/>
        </w:rPr>
        <w:t xml:space="preserve"> voor de </w:t>
      </w:r>
      <w:r w:rsidR="00F10282">
        <w:rPr>
          <w:sz w:val="22"/>
        </w:rPr>
        <w:t xml:space="preserve">GBA en/of de </w:t>
      </w:r>
      <w:r w:rsidRPr="00E56625">
        <w:rPr>
          <w:sz w:val="22"/>
        </w:rPr>
        <w:t>BAG een niet-legitieme situatie wordt aan</w:t>
      </w:r>
      <w:r w:rsidR="00F10282">
        <w:rPr>
          <w:sz w:val="22"/>
        </w:rPr>
        <w:softHyphen/>
      </w:r>
      <w:r w:rsidRPr="00E56625">
        <w:rPr>
          <w:sz w:val="22"/>
        </w:rPr>
        <w:t>ge</w:t>
      </w:r>
      <w:r w:rsidR="00F10282">
        <w:rPr>
          <w:sz w:val="22"/>
        </w:rPr>
        <w:softHyphen/>
      </w:r>
      <w:r w:rsidRPr="00E56625">
        <w:rPr>
          <w:sz w:val="22"/>
        </w:rPr>
        <w:t>troffen, kan de gemeente tot hand</w:t>
      </w:r>
      <w:r w:rsidRPr="00E56625">
        <w:rPr>
          <w:sz w:val="22"/>
        </w:rPr>
        <w:softHyphen/>
        <w:t xml:space="preserve">having of legalisering overgaan. Dit is een beslissing, die in principe los staat van het BAG- of het GBA-proces. Wel </w:t>
      </w:r>
      <w:r w:rsidR="00B03E21">
        <w:rPr>
          <w:sz w:val="22"/>
        </w:rPr>
        <w:t xml:space="preserve">wordt de feitelijke situatie in een proces verbaal vastgelegd </w:t>
      </w:r>
      <w:r w:rsidR="006F2975">
        <w:rPr>
          <w:sz w:val="22"/>
        </w:rPr>
        <w:t xml:space="preserve">en </w:t>
      </w:r>
      <w:r w:rsidRPr="00E56625">
        <w:rPr>
          <w:sz w:val="22"/>
        </w:rPr>
        <w:t>worden de gegevens in de BAG en de GBA in overeenstemming gebracht met de feitelijke situatie</w:t>
      </w:r>
      <w:r w:rsidR="006F2975">
        <w:rPr>
          <w:sz w:val="22"/>
        </w:rPr>
        <w:t>,</w:t>
      </w:r>
      <w:r w:rsidR="00B03E21" w:rsidRPr="00B03E21">
        <w:rPr>
          <w:sz w:val="22"/>
        </w:rPr>
        <w:t xml:space="preserve"> </w:t>
      </w:r>
      <w:r w:rsidR="00B03E21">
        <w:rPr>
          <w:sz w:val="22"/>
        </w:rPr>
        <w:t>zoals het opvoeren van een ‘geconstateerd’ object</w:t>
      </w:r>
      <w:r w:rsidR="006F2975">
        <w:rPr>
          <w:sz w:val="22"/>
        </w:rPr>
        <w:t>.</w:t>
      </w:r>
      <w:r w:rsidRPr="00E56625">
        <w:rPr>
          <w:sz w:val="22"/>
        </w:rPr>
        <w:t xml:space="preserve"> Bij het voltooien van de handha</w:t>
      </w:r>
      <w:r w:rsidRPr="00E56625">
        <w:rPr>
          <w:sz w:val="22"/>
        </w:rPr>
        <w:softHyphen/>
        <w:t>ving of lega</w:t>
      </w:r>
      <w:r w:rsidRPr="00E56625">
        <w:rPr>
          <w:sz w:val="22"/>
        </w:rPr>
        <w:softHyphen/>
        <w:t>li</w:t>
      </w:r>
      <w:r w:rsidRPr="00E56625">
        <w:rPr>
          <w:sz w:val="22"/>
        </w:rPr>
        <w:softHyphen/>
        <w:t>se</w:t>
      </w:r>
      <w:r w:rsidRPr="00E56625">
        <w:rPr>
          <w:sz w:val="22"/>
        </w:rPr>
        <w:softHyphen/>
        <w:t>ring kan er alsnog een mutatie plaatsvinden om de nieuwe situatie te weer</w:t>
      </w:r>
      <w:r w:rsidRPr="00E56625">
        <w:rPr>
          <w:sz w:val="22"/>
        </w:rPr>
        <w:softHyphen/>
        <w:t>spiegelen.</w:t>
      </w:r>
    </w:p>
    <w:p w:rsidR="00683684" w:rsidRPr="00FC31FF" w:rsidRDefault="00683684" w:rsidP="00683684">
      <w:pPr>
        <w:jc w:val="both"/>
        <w:rPr>
          <w:sz w:val="6"/>
        </w:rPr>
      </w:pPr>
    </w:p>
    <w:p w:rsidR="00683684" w:rsidRPr="00E56625" w:rsidRDefault="00683684" w:rsidP="00683684">
      <w:pPr>
        <w:pStyle w:val="Lijstalinea"/>
        <w:numPr>
          <w:ilvl w:val="0"/>
          <w:numId w:val="24"/>
        </w:numPr>
        <w:jc w:val="both"/>
        <w:rPr>
          <w:sz w:val="22"/>
        </w:rPr>
      </w:pPr>
      <w:r w:rsidRPr="00E56625">
        <w:rPr>
          <w:sz w:val="22"/>
        </w:rPr>
        <w:t>Een ‘gemeentelijke herindeling’ is meestal een gemeentelijke fusie, eventueel in combinatie met ‘infrastructurele wijzigingen’ (</w:t>
      </w:r>
      <w:r w:rsidR="002E3335">
        <w:rPr>
          <w:sz w:val="22"/>
        </w:rPr>
        <w:t>adreswijziging</w:t>
      </w:r>
      <w:r w:rsidR="00B90000">
        <w:rPr>
          <w:sz w:val="22"/>
        </w:rPr>
        <w:t>en</w:t>
      </w:r>
      <w:r w:rsidR="002E3335">
        <w:rPr>
          <w:sz w:val="22"/>
        </w:rPr>
        <w:t xml:space="preserve"> waarbij de burger feitelijk niet verhuist, omdat alleen </w:t>
      </w:r>
      <w:r w:rsidR="00B90000">
        <w:rPr>
          <w:sz w:val="22"/>
        </w:rPr>
        <w:t>de</w:t>
      </w:r>
      <w:r w:rsidR="002E3335">
        <w:rPr>
          <w:sz w:val="22"/>
        </w:rPr>
        <w:t xml:space="preserve"> adres</w:t>
      </w:r>
      <w:r w:rsidR="00B90000">
        <w:rPr>
          <w:sz w:val="22"/>
        </w:rPr>
        <w:t>sen</w:t>
      </w:r>
      <w:r w:rsidR="002E3335">
        <w:rPr>
          <w:sz w:val="22"/>
        </w:rPr>
        <w:t xml:space="preserve"> van verblijfsobject</w:t>
      </w:r>
      <w:r w:rsidR="00B90000">
        <w:rPr>
          <w:sz w:val="22"/>
        </w:rPr>
        <w:t>en wijzigen</w:t>
      </w:r>
      <w:r w:rsidRPr="00E56625">
        <w:rPr>
          <w:sz w:val="22"/>
        </w:rPr>
        <w:t xml:space="preserve">). </w:t>
      </w:r>
      <w:r w:rsidR="00B90000">
        <w:rPr>
          <w:sz w:val="22"/>
        </w:rPr>
        <w:t>Deze heeft</w:t>
      </w:r>
      <w:r w:rsidRPr="00E56625">
        <w:rPr>
          <w:sz w:val="22"/>
        </w:rPr>
        <w:t xml:space="preserve"> con</w:t>
      </w:r>
      <w:r w:rsidRPr="00E56625">
        <w:rPr>
          <w:sz w:val="22"/>
        </w:rPr>
        <w:softHyphen/>
        <w:t>se</w:t>
      </w:r>
      <w:r w:rsidRPr="00E56625">
        <w:rPr>
          <w:sz w:val="22"/>
        </w:rPr>
        <w:softHyphen/>
        <w:t>quenties voor gemeentegrenzen, het eventueel hernoemen van woon</w:t>
      </w:r>
      <w:r w:rsidRPr="00E56625">
        <w:rPr>
          <w:sz w:val="22"/>
        </w:rPr>
        <w:softHyphen/>
        <w:t>plaat</w:t>
      </w:r>
      <w:r w:rsidRPr="00E56625">
        <w:rPr>
          <w:sz w:val="22"/>
        </w:rPr>
        <w:softHyphen/>
        <w:t>sen en open</w:t>
      </w:r>
      <w:r w:rsidRPr="00E56625">
        <w:rPr>
          <w:sz w:val="22"/>
        </w:rPr>
        <w:softHyphen/>
        <w:t xml:space="preserve">bare ruimten en hernummeringen. Gezien de schaal en de gevolgen voor de BAG, de GBA en de koppelingen </w:t>
      </w:r>
      <w:r w:rsidRPr="00E56625">
        <w:rPr>
          <w:sz w:val="22"/>
        </w:rPr>
        <w:lastRenderedPageBreak/>
        <w:t>tussen beide, zal dit als een zelfstandig project worden aangepakt</w:t>
      </w:r>
      <w:r w:rsidR="00564EE5">
        <w:rPr>
          <w:sz w:val="22"/>
        </w:rPr>
        <w:t xml:space="preserve"> en wordt </w:t>
      </w:r>
      <w:r w:rsidR="00F04E59">
        <w:rPr>
          <w:sz w:val="22"/>
        </w:rPr>
        <w:t xml:space="preserve">deze </w:t>
      </w:r>
      <w:r w:rsidR="00564EE5">
        <w:rPr>
          <w:sz w:val="22"/>
        </w:rPr>
        <w:t>niet als proces in deze handreiking beschreven.</w:t>
      </w:r>
    </w:p>
    <w:p w:rsidR="00683684" w:rsidRPr="00FC31FF" w:rsidRDefault="00683684" w:rsidP="00683684">
      <w:pPr>
        <w:jc w:val="both"/>
        <w:rPr>
          <w:sz w:val="6"/>
        </w:rPr>
      </w:pPr>
    </w:p>
    <w:p w:rsidR="00683684" w:rsidRPr="003466BB" w:rsidRDefault="00683684" w:rsidP="00683684">
      <w:pPr>
        <w:pStyle w:val="Lijstalinea"/>
        <w:numPr>
          <w:ilvl w:val="0"/>
          <w:numId w:val="24"/>
        </w:numPr>
        <w:jc w:val="both"/>
        <w:rPr>
          <w:sz w:val="22"/>
        </w:rPr>
      </w:pPr>
      <w:r w:rsidRPr="00634EDB">
        <w:rPr>
          <w:sz w:val="22"/>
        </w:rPr>
        <w:t>Op termijn zal er gestreefd worden naar directe (real time) koppeling tus</w:t>
      </w:r>
      <w:r w:rsidRPr="00634EDB">
        <w:rPr>
          <w:sz w:val="22"/>
        </w:rPr>
        <w:softHyphen/>
        <w:t>sen de BAG en de GBA via de identificatiecodes van de objecten. Dan is het niet meer nodig dat in de GBA een kopie van de adressen aanwezig is, maar kun</w:t>
      </w:r>
      <w:r w:rsidRPr="00634EDB">
        <w:rPr>
          <w:sz w:val="22"/>
        </w:rPr>
        <w:softHyphen/>
        <w:t>nen deze recht</w:t>
      </w:r>
      <w:r w:rsidRPr="00634EDB">
        <w:rPr>
          <w:sz w:val="22"/>
        </w:rPr>
        <w:softHyphen/>
        <w:t>streeks aan de BAG worden ontleend</w:t>
      </w:r>
      <w:r w:rsidR="00707835" w:rsidRPr="00707835">
        <w:rPr>
          <w:sz w:val="22"/>
        </w:rPr>
        <w:t xml:space="preserve"> </w:t>
      </w:r>
      <w:r w:rsidR="00707835" w:rsidRPr="00634EDB">
        <w:rPr>
          <w:sz w:val="22"/>
        </w:rPr>
        <w:t>via de identificatiecodes</w:t>
      </w:r>
      <w:r w:rsidRPr="00634EDB">
        <w:rPr>
          <w:sz w:val="22"/>
        </w:rPr>
        <w:t>. Dit heeft voor de procesgang geen gevolgen. Voor bepaal</w:t>
      </w:r>
      <w:r w:rsidR="003466BB">
        <w:rPr>
          <w:sz w:val="22"/>
        </w:rPr>
        <w:softHyphen/>
      </w:r>
      <w:r w:rsidRPr="00634EDB">
        <w:rPr>
          <w:sz w:val="22"/>
        </w:rPr>
        <w:t>de BAG-mutaties blijft echter gelden dat deze gevol</w:t>
      </w:r>
      <w:r w:rsidR="00634EDB" w:rsidRPr="00634EDB">
        <w:rPr>
          <w:sz w:val="22"/>
        </w:rPr>
        <w:softHyphen/>
      </w:r>
      <w:r w:rsidRPr="00634EDB">
        <w:rPr>
          <w:sz w:val="22"/>
        </w:rPr>
        <w:t>gen hebben voor de inschrij</w:t>
      </w:r>
      <w:r w:rsidRPr="00634EDB">
        <w:rPr>
          <w:sz w:val="22"/>
        </w:rPr>
        <w:softHyphen/>
        <w:t>ving van bewoners, zodat er aanv</w:t>
      </w:r>
      <w:r w:rsidR="00812573">
        <w:rPr>
          <w:sz w:val="22"/>
        </w:rPr>
        <w:t>ullende activiteiten nodig zijn om de registratie in de GBA op orde te brengen.</w:t>
      </w:r>
    </w:p>
    <w:p w:rsidR="00683684" w:rsidRDefault="00683684" w:rsidP="00054ED3">
      <w:pPr>
        <w:pStyle w:val="Kop1"/>
      </w:pPr>
      <w:r>
        <w:br w:type="page"/>
      </w:r>
      <w:bookmarkStart w:id="19" w:name="_Toc161406706"/>
      <w:r w:rsidRPr="00133700">
        <w:lastRenderedPageBreak/>
        <w:t xml:space="preserve">Bijlage </w:t>
      </w:r>
      <w:r>
        <w:t>B</w:t>
      </w:r>
      <w:r w:rsidRPr="00133700">
        <w:t xml:space="preserve">, </w:t>
      </w:r>
      <w:r>
        <w:t>Codering BAG-gebeurtenissen</w:t>
      </w:r>
      <w:bookmarkEnd w:id="19"/>
    </w:p>
    <w:p w:rsidR="00683684" w:rsidRPr="009A5644" w:rsidRDefault="00683684" w:rsidP="00683684">
      <w:pPr>
        <w:jc w:val="both"/>
      </w:pPr>
      <w:r w:rsidRPr="009A5644">
        <w:t xml:space="preserve">Deze bijlage is overgenomen uit de </w:t>
      </w:r>
      <w:r>
        <w:t>BAG GBA Koppelvlak</w:t>
      </w:r>
      <w:r w:rsidRPr="00B93553">
        <w:t>beschrijving v1.2.doc</w:t>
      </w:r>
      <w:r>
        <w:t xml:space="preserve"> (14 okto</w:t>
      </w:r>
      <w:r>
        <w:softHyphen/>
        <w:t>ber 2009).</w:t>
      </w:r>
      <w:r w:rsidRPr="009A5644">
        <w:t xml:space="preserve"> Hier vindt u een limitatieve opsomming van de mogelijke waarden van het element ‘codeGebeurtenis’. Als bron is hiervoor het VROM BAG Proces</w:t>
      </w:r>
      <w:r>
        <w:softHyphen/>
      </w:r>
      <w:r w:rsidRPr="009A5644">
        <w:t>sen</w:t>
      </w:r>
      <w:r>
        <w:softHyphen/>
      </w:r>
      <w:r w:rsidRPr="009A5644">
        <w:t>hand</w:t>
      </w:r>
      <w:r>
        <w:softHyphen/>
      </w:r>
      <w:r w:rsidRPr="009A5644">
        <w:t xml:space="preserve">boek v1.1 gehanteerd. </w:t>
      </w:r>
      <w:r>
        <w:t xml:space="preserve">Inmiddels is dit beschikbaar als </w:t>
      </w:r>
      <w:r w:rsidRPr="00B626A4">
        <w:t>Processenhandboek basis</w:t>
      </w:r>
      <w:r>
        <w:softHyphen/>
      </w:r>
      <w:r w:rsidRPr="00B626A4">
        <w:t>regis</w:t>
      </w:r>
      <w:r>
        <w:softHyphen/>
      </w:r>
      <w:r w:rsidRPr="00B626A4">
        <w:t>tra</w:t>
      </w:r>
      <w:r>
        <w:softHyphen/>
      </w:r>
      <w:r w:rsidRPr="00B626A4">
        <w:t>ties adres</w:t>
      </w:r>
      <w:r>
        <w:softHyphen/>
      </w:r>
      <w:r w:rsidRPr="00B626A4">
        <w:t>sen en gebouwen</w:t>
      </w:r>
      <w:r>
        <w:t>, versie 2009, juli 2009.</w:t>
      </w:r>
    </w:p>
    <w:p w:rsidR="00683684" w:rsidRPr="00B626A4" w:rsidRDefault="00683684" w:rsidP="00683684">
      <w:pPr>
        <w:jc w:val="both"/>
      </w:pPr>
      <w:r w:rsidRPr="00B626A4">
        <w:t>Voor de in het processenhandboek opgenomen dubbele codes zijn unieke coderingen bepaald. VROM BAG beheert deze lijst niet. Hiermee is de lijst een onlosmakelijk onder</w:t>
      </w:r>
      <w:r>
        <w:softHyphen/>
      </w:r>
      <w:r w:rsidRPr="00B626A4">
        <w:t>deel geworden van de koppelvlakbeschrijving. Wijzigingen op deze lijst moeten via de normale kanalen aangevraagd worden en worden door de Beheerder afgestemd met VROM BAG, opdat de aansluiting op het BAG Processenhandboek gewaarborgd</w:t>
      </w:r>
      <w:r w:rsidRPr="00CF68B7">
        <w:t xml:space="preserve"> </w:t>
      </w:r>
      <w:r w:rsidRPr="00B626A4">
        <w:t>is.</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551"/>
      </w:tblGrid>
      <w:tr w:rsidR="00683684">
        <w:trPr>
          <w:tblHeader/>
        </w:trPr>
        <w:tc>
          <w:tcPr>
            <w:tcW w:w="6096" w:type="dxa"/>
            <w:shd w:val="clear" w:color="auto" w:fill="C0C0C0"/>
          </w:tcPr>
          <w:p w:rsidR="00683684" w:rsidRDefault="00683684">
            <w:pPr>
              <w:rPr>
                <w:b/>
                <w:noProof/>
              </w:rPr>
            </w:pPr>
            <w:r>
              <w:rPr>
                <w:b/>
              </w:rPr>
              <w:t>BAG-proces</w:t>
            </w:r>
          </w:p>
        </w:tc>
        <w:tc>
          <w:tcPr>
            <w:tcW w:w="2551" w:type="dxa"/>
            <w:shd w:val="clear" w:color="auto" w:fill="C0C0C0"/>
          </w:tcPr>
          <w:p w:rsidR="00683684" w:rsidRDefault="00683684" w:rsidP="008323FB">
            <w:pPr>
              <w:rPr>
                <w:b/>
                <w:noProof/>
              </w:rPr>
            </w:pPr>
            <w:r>
              <w:rPr>
                <w:b/>
                <w:noProof/>
              </w:rPr>
              <w:t>Code gebeurtenis</w:t>
            </w:r>
          </w:p>
        </w:tc>
      </w:tr>
      <w:tr w:rsidR="00683684">
        <w:tc>
          <w:tcPr>
            <w:tcW w:w="6096" w:type="dxa"/>
          </w:tcPr>
          <w:p w:rsidR="00683684" w:rsidRDefault="00683684" w:rsidP="00443C6D">
            <w:pPr>
              <w:spacing w:after="120"/>
              <w:rPr>
                <w:noProof/>
              </w:rPr>
            </w:pPr>
            <w:bookmarkStart w:id="20" w:name="_Toc146531337"/>
            <w:bookmarkStart w:id="21" w:name="_Toc146531447"/>
            <w:bookmarkStart w:id="22" w:name="_Toc146531521"/>
            <w:bookmarkStart w:id="23" w:name="_Toc146532341"/>
            <w:bookmarkStart w:id="24" w:name="_Toc151439834"/>
            <w:bookmarkStart w:id="25" w:name="_Toc163450760"/>
            <w:r>
              <w:rPr>
                <w:noProof/>
              </w:rPr>
              <w:t>Archivering geconstateerd object</w:t>
            </w:r>
            <w:bookmarkEnd w:id="20"/>
            <w:bookmarkEnd w:id="21"/>
            <w:bookmarkEnd w:id="22"/>
            <w:bookmarkEnd w:id="23"/>
            <w:bookmarkEnd w:id="24"/>
            <w:bookmarkEnd w:id="25"/>
          </w:p>
        </w:tc>
        <w:tc>
          <w:tcPr>
            <w:tcW w:w="2551" w:type="dxa"/>
          </w:tcPr>
          <w:p w:rsidR="00683684" w:rsidRDefault="00683684" w:rsidP="00443C6D">
            <w:pPr>
              <w:spacing w:after="120"/>
              <w:rPr>
                <w:noProof/>
              </w:rPr>
            </w:pPr>
            <w:r>
              <w:rPr>
                <w:noProof/>
              </w:rPr>
              <w:t>BAG-AGO</w:t>
            </w:r>
          </w:p>
        </w:tc>
      </w:tr>
      <w:tr w:rsidR="00683684">
        <w:tc>
          <w:tcPr>
            <w:tcW w:w="6096" w:type="dxa"/>
          </w:tcPr>
          <w:p w:rsidR="00683684" w:rsidRDefault="00683684" w:rsidP="00443C6D">
            <w:pPr>
              <w:spacing w:after="120"/>
              <w:rPr>
                <w:noProof/>
              </w:rPr>
            </w:pPr>
            <w:bookmarkStart w:id="26" w:name="_Toc151439831"/>
            <w:bookmarkStart w:id="27" w:name="_Toc163450757"/>
            <w:r>
              <w:rPr>
                <w:noProof/>
              </w:rPr>
              <w:t>Archivering bestaand object na constatering</w:t>
            </w:r>
            <w:bookmarkEnd w:id="26"/>
            <w:bookmarkEnd w:id="27"/>
          </w:p>
        </w:tc>
        <w:tc>
          <w:tcPr>
            <w:tcW w:w="2551" w:type="dxa"/>
          </w:tcPr>
          <w:p w:rsidR="00683684" w:rsidRDefault="00683684" w:rsidP="00443C6D">
            <w:pPr>
              <w:spacing w:after="120"/>
              <w:rPr>
                <w:noProof/>
              </w:rPr>
            </w:pPr>
            <w:r>
              <w:rPr>
                <w:noProof/>
              </w:rPr>
              <w:t>BAG-AOC</w:t>
            </w:r>
          </w:p>
        </w:tc>
      </w:tr>
      <w:tr w:rsidR="00683684">
        <w:trPr>
          <w:trHeight w:val="60"/>
        </w:trPr>
        <w:tc>
          <w:tcPr>
            <w:tcW w:w="6096" w:type="dxa"/>
          </w:tcPr>
          <w:p w:rsidR="00683684" w:rsidRDefault="00683684" w:rsidP="00443C6D">
            <w:pPr>
              <w:spacing w:after="120"/>
              <w:rPr>
                <w:noProof/>
              </w:rPr>
            </w:pPr>
            <w:bookmarkStart w:id="28" w:name="_Toc146531336"/>
            <w:bookmarkStart w:id="29" w:name="_Toc146531446"/>
            <w:bookmarkStart w:id="30" w:name="_Toc146531520"/>
            <w:bookmarkStart w:id="31" w:name="_Toc146532340"/>
            <w:bookmarkStart w:id="32" w:name="_Toc151439835"/>
            <w:bookmarkStart w:id="33" w:name="_Toc163450761"/>
            <w:r>
              <w:rPr>
                <w:noProof/>
              </w:rPr>
              <w:t xml:space="preserve">Formalisering geconstateerd </w:t>
            </w:r>
            <w:bookmarkEnd w:id="28"/>
            <w:bookmarkEnd w:id="29"/>
            <w:bookmarkEnd w:id="30"/>
            <w:bookmarkEnd w:id="31"/>
            <w:r>
              <w:rPr>
                <w:noProof/>
              </w:rPr>
              <w:t>object</w:t>
            </w:r>
            <w:bookmarkEnd w:id="32"/>
            <w:bookmarkEnd w:id="33"/>
          </w:p>
        </w:tc>
        <w:tc>
          <w:tcPr>
            <w:tcW w:w="2551" w:type="dxa"/>
          </w:tcPr>
          <w:p w:rsidR="00683684" w:rsidRDefault="00683684" w:rsidP="00443C6D">
            <w:pPr>
              <w:spacing w:after="120"/>
              <w:rPr>
                <w:noProof/>
              </w:rPr>
            </w:pPr>
            <w:r>
              <w:rPr>
                <w:noProof/>
              </w:rPr>
              <w:t>BAG-FGO</w:t>
            </w:r>
          </w:p>
        </w:tc>
      </w:tr>
      <w:tr w:rsidR="00683684">
        <w:tc>
          <w:tcPr>
            <w:tcW w:w="6096" w:type="dxa"/>
          </w:tcPr>
          <w:p w:rsidR="00683684" w:rsidRDefault="00683684" w:rsidP="00443C6D">
            <w:pPr>
              <w:spacing w:after="120"/>
              <w:rPr>
                <w:noProof/>
              </w:rPr>
            </w:pPr>
            <w:bookmarkStart w:id="34" w:name="_Toc151439833"/>
            <w:bookmarkStart w:id="35" w:name="_Toc163450759"/>
            <w:r>
              <w:rPr>
                <w:noProof/>
              </w:rPr>
              <w:t>Heropname legitiem gegeven</w:t>
            </w:r>
            <w:bookmarkEnd w:id="34"/>
            <w:bookmarkEnd w:id="35"/>
          </w:p>
        </w:tc>
        <w:tc>
          <w:tcPr>
            <w:tcW w:w="2551" w:type="dxa"/>
          </w:tcPr>
          <w:p w:rsidR="00683684" w:rsidRDefault="00683684" w:rsidP="00443C6D">
            <w:pPr>
              <w:spacing w:after="120"/>
              <w:rPr>
                <w:noProof/>
              </w:rPr>
            </w:pPr>
            <w:r>
              <w:rPr>
                <w:noProof/>
              </w:rPr>
              <w:t>BAG-HLG</w:t>
            </w:r>
          </w:p>
        </w:tc>
      </w:tr>
      <w:tr w:rsidR="00683684">
        <w:tc>
          <w:tcPr>
            <w:tcW w:w="6096" w:type="dxa"/>
          </w:tcPr>
          <w:p w:rsidR="00683684" w:rsidRDefault="00683684" w:rsidP="00443C6D">
            <w:pPr>
              <w:spacing w:after="120"/>
              <w:rPr>
                <w:noProof/>
              </w:rPr>
            </w:pPr>
            <w:bookmarkStart w:id="36" w:name="_Toc146531323"/>
            <w:bookmarkStart w:id="37" w:name="_Toc146531433"/>
            <w:bookmarkStart w:id="38" w:name="_Toc146531505"/>
            <w:bookmarkStart w:id="39" w:name="_Toc146532317"/>
            <w:bookmarkStart w:id="40" w:name="_Toc151439779"/>
            <w:bookmarkStart w:id="41" w:name="_Toc163450700"/>
            <w:r>
              <w:rPr>
                <w:noProof/>
              </w:rPr>
              <w:t>Beschikbaar komen ingemeten geometrie</w:t>
            </w:r>
            <w:bookmarkEnd w:id="36"/>
            <w:bookmarkEnd w:id="37"/>
            <w:bookmarkEnd w:id="38"/>
            <w:bookmarkEnd w:id="39"/>
            <w:bookmarkEnd w:id="40"/>
            <w:bookmarkEnd w:id="41"/>
          </w:p>
        </w:tc>
        <w:tc>
          <w:tcPr>
            <w:tcW w:w="2551" w:type="dxa"/>
          </w:tcPr>
          <w:p w:rsidR="00683684" w:rsidRDefault="00683684" w:rsidP="00443C6D">
            <w:pPr>
              <w:spacing w:after="120"/>
              <w:rPr>
                <w:noProof/>
              </w:rPr>
            </w:pPr>
            <w:r>
              <w:rPr>
                <w:noProof/>
              </w:rPr>
              <w:t>BGR-BIG</w:t>
            </w:r>
          </w:p>
        </w:tc>
      </w:tr>
      <w:tr w:rsidR="00683684">
        <w:tc>
          <w:tcPr>
            <w:tcW w:w="6096" w:type="dxa"/>
          </w:tcPr>
          <w:p w:rsidR="00683684" w:rsidRDefault="00683684" w:rsidP="00443C6D">
            <w:pPr>
              <w:spacing w:after="120"/>
              <w:rPr>
                <w:noProof/>
              </w:rPr>
            </w:pPr>
            <w:bookmarkStart w:id="42" w:name="_Toc146531357"/>
            <w:bookmarkStart w:id="43" w:name="_Toc146531467"/>
            <w:bookmarkStart w:id="44" w:name="_Toc146531544"/>
            <w:bookmarkStart w:id="45" w:name="_Toc146532367"/>
            <w:bookmarkStart w:id="46" w:name="_Toc151439800"/>
            <w:bookmarkStart w:id="47" w:name="_Toc163450722"/>
            <w:r>
              <w:rPr>
                <w:noProof/>
              </w:rPr>
              <w:t>Benoemen standplaats</w:t>
            </w:r>
            <w:bookmarkEnd w:id="42"/>
            <w:bookmarkEnd w:id="43"/>
            <w:bookmarkEnd w:id="44"/>
            <w:bookmarkEnd w:id="45"/>
            <w:bookmarkEnd w:id="46"/>
            <w:bookmarkEnd w:id="47"/>
          </w:p>
        </w:tc>
        <w:tc>
          <w:tcPr>
            <w:tcW w:w="2551" w:type="dxa"/>
          </w:tcPr>
          <w:p w:rsidR="00683684" w:rsidRDefault="00683684" w:rsidP="00443C6D">
            <w:pPr>
              <w:spacing w:after="120"/>
              <w:rPr>
                <w:noProof/>
              </w:rPr>
            </w:pPr>
            <w:r>
              <w:rPr>
                <w:noProof/>
              </w:rPr>
              <w:t>BGR-BSLSP</w:t>
            </w:r>
          </w:p>
        </w:tc>
      </w:tr>
      <w:tr w:rsidR="00683684">
        <w:tc>
          <w:tcPr>
            <w:tcW w:w="6096" w:type="dxa"/>
          </w:tcPr>
          <w:p w:rsidR="00683684" w:rsidRDefault="00683684" w:rsidP="00443C6D">
            <w:pPr>
              <w:spacing w:after="120"/>
              <w:rPr>
                <w:noProof/>
              </w:rPr>
            </w:pPr>
            <w:r>
              <w:rPr>
                <w:noProof/>
              </w:rPr>
              <w:t>Benoemen ligplaats</w:t>
            </w:r>
          </w:p>
        </w:tc>
        <w:tc>
          <w:tcPr>
            <w:tcW w:w="2551" w:type="dxa"/>
          </w:tcPr>
          <w:p w:rsidR="00683684" w:rsidRDefault="00683684" w:rsidP="00443C6D">
            <w:pPr>
              <w:spacing w:after="120"/>
              <w:rPr>
                <w:noProof/>
              </w:rPr>
            </w:pPr>
            <w:r>
              <w:rPr>
                <w:noProof/>
              </w:rPr>
              <w:t>BGR-BSLLP</w:t>
            </w:r>
          </w:p>
        </w:tc>
      </w:tr>
      <w:tr w:rsidR="00683684">
        <w:tc>
          <w:tcPr>
            <w:tcW w:w="6096" w:type="dxa"/>
          </w:tcPr>
          <w:p w:rsidR="00683684" w:rsidRDefault="00683684" w:rsidP="00443C6D">
            <w:pPr>
              <w:spacing w:after="120"/>
              <w:rPr>
                <w:noProof/>
              </w:rPr>
            </w:pPr>
            <w:bookmarkStart w:id="48" w:name="_Toc146531333"/>
            <w:bookmarkStart w:id="49" w:name="_Toc146531443"/>
            <w:bookmarkStart w:id="50" w:name="_Toc146531517"/>
            <w:bookmarkStart w:id="51" w:name="_Toc146532336"/>
            <w:bookmarkStart w:id="52" w:name="_Toc151439830"/>
            <w:bookmarkStart w:id="53" w:name="_Toc163450756"/>
            <w:r>
              <w:rPr>
                <w:noProof/>
              </w:rPr>
              <w:t>Constatering nieuw object</w:t>
            </w:r>
            <w:bookmarkEnd w:id="48"/>
            <w:bookmarkEnd w:id="49"/>
            <w:bookmarkEnd w:id="50"/>
            <w:bookmarkEnd w:id="51"/>
            <w:bookmarkEnd w:id="52"/>
            <w:bookmarkEnd w:id="53"/>
          </w:p>
        </w:tc>
        <w:tc>
          <w:tcPr>
            <w:tcW w:w="2551" w:type="dxa"/>
          </w:tcPr>
          <w:p w:rsidR="00683684" w:rsidRDefault="00683684" w:rsidP="00443C6D">
            <w:pPr>
              <w:spacing w:after="120"/>
              <w:rPr>
                <w:noProof/>
              </w:rPr>
            </w:pPr>
            <w:r>
              <w:rPr>
                <w:noProof/>
              </w:rPr>
              <w:t>BGR-COG</w:t>
            </w:r>
          </w:p>
        </w:tc>
      </w:tr>
      <w:tr w:rsidR="00683684">
        <w:tc>
          <w:tcPr>
            <w:tcW w:w="6096" w:type="dxa"/>
          </w:tcPr>
          <w:p w:rsidR="00683684" w:rsidRDefault="00683684" w:rsidP="00443C6D">
            <w:pPr>
              <w:spacing w:after="120"/>
              <w:rPr>
                <w:noProof/>
              </w:rPr>
            </w:pPr>
            <w:bookmarkStart w:id="54" w:name="_Toc151439771"/>
            <w:bookmarkStart w:id="55" w:name="_Toc163450692"/>
            <w:r>
              <w:rPr>
                <w:noProof/>
              </w:rPr>
              <w:t>Intrekken bouwvergunning</w:t>
            </w:r>
            <w:bookmarkEnd w:id="54"/>
            <w:bookmarkEnd w:id="55"/>
          </w:p>
        </w:tc>
        <w:tc>
          <w:tcPr>
            <w:tcW w:w="2551" w:type="dxa"/>
          </w:tcPr>
          <w:p w:rsidR="00683684" w:rsidRDefault="00683684" w:rsidP="00443C6D">
            <w:pPr>
              <w:spacing w:after="120"/>
              <w:rPr>
                <w:noProof/>
              </w:rPr>
            </w:pPr>
            <w:r>
              <w:rPr>
                <w:noProof/>
              </w:rPr>
              <w:t>BGR-IBV</w:t>
            </w:r>
          </w:p>
        </w:tc>
      </w:tr>
      <w:tr w:rsidR="00683684">
        <w:tc>
          <w:tcPr>
            <w:tcW w:w="6096" w:type="dxa"/>
          </w:tcPr>
          <w:p w:rsidR="00683684" w:rsidRDefault="00683684" w:rsidP="00443C6D">
            <w:pPr>
              <w:spacing w:after="120"/>
              <w:rPr>
                <w:noProof/>
              </w:rPr>
            </w:pPr>
            <w:bookmarkStart w:id="56" w:name="_Toc146531361"/>
            <w:bookmarkStart w:id="57" w:name="_Toc146531471"/>
            <w:bookmarkStart w:id="58" w:name="_Toc146531550"/>
            <w:bookmarkStart w:id="59" w:name="_Toc146532375"/>
            <w:bookmarkStart w:id="60" w:name="_Toc151439807"/>
            <w:bookmarkStart w:id="61" w:name="_Toc163450729"/>
            <w:r>
              <w:rPr>
                <w:noProof/>
              </w:rPr>
              <w:t>Intrekken standplaats</w:t>
            </w:r>
            <w:bookmarkEnd w:id="56"/>
            <w:bookmarkEnd w:id="57"/>
            <w:bookmarkEnd w:id="58"/>
            <w:bookmarkEnd w:id="59"/>
            <w:bookmarkEnd w:id="60"/>
            <w:bookmarkEnd w:id="61"/>
          </w:p>
        </w:tc>
        <w:tc>
          <w:tcPr>
            <w:tcW w:w="2551" w:type="dxa"/>
          </w:tcPr>
          <w:p w:rsidR="00683684" w:rsidRDefault="00683684" w:rsidP="00443C6D">
            <w:pPr>
              <w:spacing w:after="120"/>
              <w:rPr>
                <w:noProof/>
              </w:rPr>
            </w:pPr>
            <w:r>
              <w:rPr>
                <w:noProof/>
              </w:rPr>
              <w:t>BGR-ISLSP</w:t>
            </w:r>
          </w:p>
        </w:tc>
      </w:tr>
      <w:tr w:rsidR="00683684">
        <w:tc>
          <w:tcPr>
            <w:tcW w:w="6096" w:type="dxa"/>
          </w:tcPr>
          <w:p w:rsidR="00683684" w:rsidRDefault="00683684" w:rsidP="00443C6D">
            <w:pPr>
              <w:spacing w:after="120"/>
              <w:rPr>
                <w:noProof/>
              </w:rPr>
            </w:pPr>
            <w:bookmarkStart w:id="62" w:name="_Toc146531362"/>
            <w:bookmarkStart w:id="63" w:name="_Toc146531472"/>
            <w:bookmarkStart w:id="64" w:name="_Toc146531551"/>
            <w:bookmarkStart w:id="65" w:name="_Toc146532376"/>
            <w:bookmarkStart w:id="66" w:name="_Toc151439808"/>
            <w:bookmarkStart w:id="67" w:name="_Toc163450730"/>
            <w:r>
              <w:rPr>
                <w:noProof/>
              </w:rPr>
              <w:t>Intrekken ligplaats</w:t>
            </w:r>
            <w:bookmarkEnd w:id="62"/>
            <w:bookmarkEnd w:id="63"/>
            <w:bookmarkEnd w:id="64"/>
            <w:bookmarkEnd w:id="65"/>
            <w:bookmarkEnd w:id="66"/>
            <w:bookmarkEnd w:id="67"/>
          </w:p>
        </w:tc>
        <w:tc>
          <w:tcPr>
            <w:tcW w:w="2551" w:type="dxa"/>
          </w:tcPr>
          <w:p w:rsidR="00683684" w:rsidRDefault="00683684" w:rsidP="00443C6D">
            <w:pPr>
              <w:spacing w:after="120"/>
              <w:rPr>
                <w:noProof/>
              </w:rPr>
            </w:pPr>
            <w:r>
              <w:rPr>
                <w:noProof/>
              </w:rPr>
              <w:t>BGR-ISLLP</w:t>
            </w:r>
          </w:p>
        </w:tc>
      </w:tr>
      <w:tr w:rsidR="00683684">
        <w:tc>
          <w:tcPr>
            <w:tcW w:w="6096" w:type="dxa"/>
          </w:tcPr>
          <w:p w:rsidR="00683684" w:rsidRDefault="00683684" w:rsidP="00443C6D">
            <w:pPr>
              <w:spacing w:after="120"/>
              <w:rPr>
                <w:noProof/>
              </w:rPr>
            </w:pPr>
            <w:bookmarkStart w:id="68" w:name="_Toc146531324"/>
            <w:bookmarkStart w:id="69" w:name="_Toc146531434"/>
            <w:bookmarkStart w:id="70" w:name="_Toc146531506"/>
            <w:bookmarkStart w:id="71" w:name="_Toc146532319"/>
            <w:bookmarkStart w:id="72" w:name="_Toc151439781"/>
            <w:bookmarkStart w:id="73" w:name="_Toc163450702"/>
            <w:r>
              <w:rPr>
                <w:noProof/>
              </w:rPr>
              <w:t>Kleine verbouwing object</w:t>
            </w:r>
            <w:bookmarkEnd w:id="68"/>
            <w:bookmarkEnd w:id="69"/>
            <w:bookmarkEnd w:id="70"/>
            <w:bookmarkEnd w:id="71"/>
            <w:bookmarkEnd w:id="72"/>
            <w:bookmarkEnd w:id="73"/>
          </w:p>
        </w:tc>
        <w:tc>
          <w:tcPr>
            <w:tcW w:w="2551" w:type="dxa"/>
          </w:tcPr>
          <w:p w:rsidR="00683684" w:rsidRDefault="00683684" w:rsidP="00443C6D">
            <w:pPr>
              <w:spacing w:after="120"/>
              <w:rPr>
                <w:noProof/>
              </w:rPr>
            </w:pPr>
            <w:r>
              <w:rPr>
                <w:noProof/>
              </w:rPr>
              <w:t>BGR-KVO</w:t>
            </w:r>
          </w:p>
        </w:tc>
      </w:tr>
      <w:tr w:rsidR="00683684">
        <w:tc>
          <w:tcPr>
            <w:tcW w:w="6096" w:type="dxa"/>
          </w:tcPr>
          <w:p w:rsidR="00683684" w:rsidRDefault="00683684" w:rsidP="00443C6D">
            <w:pPr>
              <w:spacing w:after="120"/>
              <w:rPr>
                <w:noProof/>
              </w:rPr>
            </w:pPr>
            <w:bookmarkStart w:id="74" w:name="_Toc146530825"/>
            <w:bookmarkStart w:id="75" w:name="_Toc146531320"/>
            <w:bookmarkStart w:id="76" w:name="_Toc146531430"/>
            <w:bookmarkStart w:id="77" w:name="_Toc146531500"/>
            <w:bookmarkStart w:id="78" w:name="_Toc146532309"/>
            <w:bookmarkStart w:id="79" w:name="_Toc151439770"/>
            <w:bookmarkStart w:id="80" w:name="_Toc163450691"/>
            <w:r>
              <w:rPr>
                <w:noProof/>
              </w:rPr>
              <w:t>Melding of waarneming afzien van bouw</w:t>
            </w:r>
            <w:bookmarkEnd w:id="74"/>
            <w:bookmarkEnd w:id="75"/>
            <w:bookmarkEnd w:id="76"/>
            <w:bookmarkEnd w:id="77"/>
            <w:bookmarkEnd w:id="78"/>
            <w:bookmarkEnd w:id="79"/>
            <w:bookmarkEnd w:id="80"/>
          </w:p>
        </w:tc>
        <w:tc>
          <w:tcPr>
            <w:tcW w:w="2551" w:type="dxa"/>
          </w:tcPr>
          <w:p w:rsidR="00683684" w:rsidRDefault="00683684" w:rsidP="00443C6D">
            <w:pPr>
              <w:spacing w:after="120"/>
              <w:rPr>
                <w:noProof/>
              </w:rPr>
            </w:pPr>
            <w:r>
              <w:rPr>
                <w:noProof/>
              </w:rPr>
              <w:t>BGR-MAB</w:t>
            </w:r>
          </w:p>
        </w:tc>
      </w:tr>
      <w:tr w:rsidR="00683684">
        <w:tc>
          <w:tcPr>
            <w:tcW w:w="6096" w:type="dxa"/>
          </w:tcPr>
          <w:p w:rsidR="00683684" w:rsidRDefault="00683684" w:rsidP="00443C6D">
            <w:pPr>
              <w:spacing w:after="120"/>
              <w:rPr>
                <w:noProof/>
              </w:rPr>
            </w:pPr>
            <w:bookmarkStart w:id="81" w:name="_Toc146530827"/>
            <w:bookmarkStart w:id="82" w:name="_Toc146531322"/>
            <w:bookmarkStart w:id="83" w:name="_Toc146531432"/>
            <w:bookmarkStart w:id="84" w:name="_Toc146531504"/>
            <w:bookmarkStart w:id="85" w:name="_Toc146532315"/>
            <w:bookmarkStart w:id="86" w:name="_Toc151439777"/>
            <w:bookmarkStart w:id="87" w:name="_Toc163450698"/>
            <w:r>
              <w:rPr>
                <w:noProof/>
              </w:rPr>
              <w:t>Melding gebruiksgereed</w:t>
            </w:r>
            <w:bookmarkEnd w:id="81"/>
            <w:bookmarkEnd w:id="82"/>
            <w:bookmarkEnd w:id="83"/>
            <w:bookmarkEnd w:id="84"/>
            <w:bookmarkEnd w:id="85"/>
            <w:bookmarkEnd w:id="86"/>
            <w:bookmarkEnd w:id="87"/>
          </w:p>
        </w:tc>
        <w:tc>
          <w:tcPr>
            <w:tcW w:w="2551" w:type="dxa"/>
          </w:tcPr>
          <w:p w:rsidR="00683684" w:rsidRDefault="00683684" w:rsidP="00443C6D">
            <w:pPr>
              <w:spacing w:after="120"/>
              <w:rPr>
                <w:noProof/>
              </w:rPr>
            </w:pPr>
            <w:r>
              <w:rPr>
                <w:noProof/>
              </w:rPr>
              <w:t>BGR-MGB</w:t>
            </w:r>
          </w:p>
        </w:tc>
      </w:tr>
      <w:tr w:rsidR="00683684">
        <w:tc>
          <w:tcPr>
            <w:tcW w:w="6096" w:type="dxa"/>
          </w:tcPr>
          <w:p w:rsidR="00683684" w:rsidRDefault="00683684" w:rsidP="00443C6D">
            <w:pPr>
              <w:spacing w:after="120"/>
              <w:rPr>
                <w:noProof/>
              </w:rPr>
            </w:pPr>
            <w:bookmarkStart w:id="88" w:name="_Toc146531330"/>
            <w:bookmarkStart w:id="89" w:name="_Toc146531440"/>
            <w:bookmarkStart w:id="90" w:name="_Toc146531513"/>
            <w:bookmarkStart w:id="91" w:name="_Toc146532330"/>
            <w:bookmarkStart w:id="92" w:name="_Toc151439792"/>
            <w:bookmarkStart w:id="93" w:name="_Toc163450714"/>
            <w:r>
              <w:rPr>
                <w:noProof/>
              </w:rPr>
              <w:t>Melding sloop afgerond</w:t>
            </w:r>
            <w:bookmarkEnd w:id="88"/>
            <w:bookmarkEnd w:id="89"/>
            <w:bookmarkEnd w:id="90"/>
            <w:bookmarkEnd w:id="91"/>
            <w:bookmarkEnd w:id="92"/>
            <w:bookmarkEnd w:id="93"/>
          </w:p>
        </w:tc>
        <w:tc>
          <w:tcPr>
            <w:tcW w:w="2551" w:type="dxa"/>
          </w:tcPr>
          <w:p w:rsidR="00683684" w:rsidRDefault="00683684" w:rsidP="00443C6D">
            <w:pPr>
              <w:spacing w:after="120"/>
              <w:rPr>
                <w:noProof/>
              </w:rPr>
            </w:pPr>
            <w:r>
              <w:rPr>
                <w:noProof/>
              </w:rPr>
              <w:t>BGR-MGS</w:t>
            </w:r>
          </w:p>
        </w:tc>
      </w:tr>
      <w:tr w:rsidR="00683684">
        <w:tc>
          <w:tcPr>
            <w:tcW w:w="6096" w:type="dxa"/>
          </w:tcPr>
          <w:p w:rsidR="00683684" w:rsidRDefault="00683684" w:rsidP="00443C6D">
            <w:pPr>
              <w:spacing w:after="120"/>
              <w:rPr>
                <w:noProof/>
              </w:rPr>
            </w:pPr>
            <w:bookmarkStart w:id="94" w:name="_Toc146530826"/>
            <w:bookmarkStart w:id="95" w:name="_Toc146531321"/>
            <w:bookmarkStart w:id="96" w:name="_Toc146531431"/>
            <w:bookmarkStart w:id="97" w:name="_Toc146531502"/>
            <w:bookmarkStart w:id="98" w:name="_Toc146532312"/>
            <w:bookmarkStart w:id="99" w:name="_Toc151439774"/>
            <w:bookmarkStart w:id="100" w:name="_Toc163450695"/>
            <w:r>
              <w:rPr>
                <w:noProof/>
              </w:rPr>
              <w:t>Melding start bouw</w:t>
            </w:r>
            <w:bookmarkEnd w:id="94"/>
            <w:bookmarkEnd w:id="95"/>
            <w:bookmarkEnd w:id="96"/>
            <w:bookmarkEnd w:id="97"/>
            <w:bookmarkEnd w:id="98"/>
            <w:bookmarkEnd w:id="99"/>
            <w:bookmarkEnd w:id="100"/>
          </w:p>
        </w:tc>
        <w:tc>
          <w:tcPr>
            <w:tcW w:w="2551" w:type="dxa"/>
          </w:tcPr>
          <w:p w:rsidR="00683684" w:rsidRDefault="00683684" w:rsidP="00443C6D">
            <w:pPr>
              <w:spacing w:after="120"/>
              <w:rPr>
                <w:noProof/>
              </w:rPr>
            </w:pPr>
            <w:r>
              <w:rPr>
                <w:noProof/>
              </w:rPr>
              <w:t>BGR-MSB</w:t>
            </w:r>
          </w:p>
        </w:tc>
      </w:tr>
      <w:tr w:rsidR="00683684">
        <w:tc>
          <w:tcPr>
            <w:tcW w:w="6096" w:type="dxa"/>
          </w:tcPr>
          <w:p w:rsidR="00683684" w:rsidRDefault="00683684" w:rsidP="00443C6D">
            <w:pPr>
              <w:spacing w:after="120"/>
              <w:rPr>
                <w:noProof/>
              </w:rPr>
            </w:pPr>
            <w:bookmarkStart w:id="101" w:name="_Toc146530822"/>
            <w:bookmarkStart w:id="102" w:name="_Toc146531317"/>
            <w:bookmarkStart w:id="103" w:name="_Toc146531427"/>
            <w:bookmarkStart w:id="104" w:name="_Toc146531497"/>
            <w:bookmarkStart w:id="105" w:name="_Toc146532303"/>
            <w:bookmarkStart w:id="106" w:name="_Toc151439764"/>
            <w:bookmarkStart w:id="107" w:name="_Toc163450685"/>
            <w:r>
              <w:rPr>
                <w:noProof/>
              </w:rPr>
              <w:t>Ontvangst bouwaanvraag</w:t>
            </w:r>
            <w:bookmarkEnd w:id="101"/>
            <w:bookmarkEnd w:id="102"/>
            <w:bookmarkEnd w:id="103"/>
            <w:bookmarkEnd w:id="104"/>
            <w:bookmarkEnd w:id="105"/>
            <w:bookmarkEnd w:id="106"/>
            <w:bookmarkEnd w:id="107"/>
          </w:p>
        </w:tc>
        <w:tc>
          <w:tcPr>
            <w:tcW w:w="2551" w:type="dxa"/>
          </w:tcPr>
          <w:p w:rsidR="00683684" w:rsidRDefault="00683684" w:rsidP="00443C6D">
            <w:pPr>
              <w:spacing w:after="120"/>
              <w:rPr>
                <w:noProof/>
              </w:rPr>
            </w:pPr>
            <w:r>
              <w:rPr>
                <w:noProof/>
              </w:rPr>
              <w:t>BGR-OBA</w:t>
            </w:r>
          </w:p>
        </w:tc>
      </w:tr>
      <w:tr w:rsidR="00683684">
        <w:tc>
          <w:tcPr>
            <w:tcW w:w="6096" w:type="dxa"/>
          </w:tcPr>
          <w:p w:rsidR="00683684" w:rsidRDefault="00683684" w:rsidP="00825D89">
            <w:pPr>
              <w:spacing w:after="120"/>
              <w:rPr>
                <w:noProof/>
              </w:rPr>
            </w:pPr>
            <w:r>
              <w:rPr>
                <w:noProof/>
              </w:rPr>
              <w:t>Pand onbewoonbaar</w:t>
            </w:r>
          </w:p>
        </w:tc>
        <w:tc>
          <w:tcPr>
            <w:tcW w:w="2551" w:type="dxa"/>
          </w:tcPr>
          <w:p w:rsidR="00683684" w:rsidRDefault="00683684" w:rsidP="00825D89">
            <w:pPr>
              <w:spacing w:after="120"/>
              <w:rPr>
                <w:noProof/>
              </w:rPr>
            </w:pPr>
            <w:r>
              <w:rPr>
                <w:noProof/>
              </w:rPr>
              <w:t>BGR-PNO</w:t>
            </w:r>
          </w:p>
        </w:tc>
      </w:tr>
      <w:tr w:rsidR="00683684">
        <w:tc>
          <w:tcPr>
            <w:tcW w:w="6096" w:type="dxa"/>
          </w:tcPr>
          <w:p w:rsidR="00683684" w:rsidRDefault="00683684" w:rsidP="00825D89">
            <w:pPr>
              <w:spacing w:after="120"/>
              <w:rPr>
                <w:noProof/>
              </w:rPr>
            </w:pPr>
            <w:bookmarkStart w:id="108" w:name="_Toc146531326"/>
            <w:bookmarkStart w:id="109" w:name="_Toc146531436"/>
            <w:bookmarkStart w:id="110" w:name="_Toc146531508"/>
            <w:bookmarkStart w:id="111" w:name="_Toc146532322"/>
            <w:bookmarkStart w:id="112" w:name="_Toc151439784"/>
            <w:bookmarkStart w:id="113" w:name="_Toc163450705"/>
            <w:r>
              <w:rPr>
                <w:noProof/>
              </w:rPr>
              <w:t>Samenvoegen verblijfsobjecten</w:t>
            </w:r>
            <w:bookmarkEnd w:id="108"/>
            <w:bookmarkEnd w:id="109"/>
            <w:bookmarkEnd w:id="110"/>
            <w:bookmarkEnd w:id="111"/>
            <w:bookmarkEnd w:id="112"/>
            <w:bookmarkEnd w:id="113"/>
          </w:p>
        </w:tc>
        <w:tc>
          <w:tcPr>
            <w:tcW w:w="2551" w:type="dxa"/>
          </w:tcPr>
          <w:p w:rsidR="00683684" w:rsidRDefault="00683684" w:rsidP="00825D89">
            <w:pPr>
              <w:spacing w:after="120"/>
              <w:rPr>
                <w:noProof/>
              </w:rPr>
            </w:pPr>
            <w:r>
              <w:rPr>
                <w:noProof/>
              </w:rPr>
              <w:t>BGR-SSVSAMEN</w:t>
            </w:r>
          </w:p>
        </w:tc>
      </w:tr>
      <w:tr w:rsidR="00683684">
        <w:tc>
          <w:tcPr>
            <w:tcW w:w="6096" w:type="dxa"/>
          </w:tcPr>
          <w:p w:rsidR="00683684" w:rsidRDefault="00683684" w:rsidP="00825D89">
            <w:pPr>
              <w:spacing w:after="120"/>
              <w:rPr>
                <w:noProof/>
              </w:rPr>
            </w:pPr>
            <w:r>
              <w:rPr>
                <w:noProof/>
              </w:rPr>
              <w:t>Splitsen verblijfsobjecten</w:t>
            </w:r>
          </w:p>
        </w:tc>
        <w:tc>
          <w:tcPr>
            <w:tcW w:w="2551" w:type="dxa"/>
          </w:tcPr>
          <w:p w:rsidR="00683684" w:rsidRDefault="00683684" w:rsidP="00825D89">
            <w:pPr>
              <w:spacing w:after="120"/>
              <w:rPr>
                <w:noProof/>
              </w:rPr>
            </w:pPr>
            <w:r>
              <w:rPr>
                <w:noProof/>
              </w:rPr>
              <w:t>BGR-SSVSPLITS</w:t>
            </w:r>
          </w:p>
        </w:tc>
      </w:tr>
      <w:tr w:rsidR="00683684">
        <w:tc>
          <w:tcPr>
            <w:tcW w:w="6096" w:type="dxa"/>
          </w:tcPr>
          <w:p w:rsidR="00683684" w:rsidRDefault="00683684" w:rsidP="00825D89">
            <w:pPr>
              <w:spacing w:after="120"/>
              <w:rPr>
                <w:noProof/>
              </w:rPr>
            </w:pPr>
            <w:bookmarkStart w:id="114" w:name="_Toc146531325"/>
            <w:bookmarkStart w:id="115" w:name="_Toc146531435"/>
            <w:bookmarkStart w:id="116" w:name="_Toc146531507"/>
            <w:bookmarkStart w:id="117" w:name="_Toc146532320"/>
            <w:bookmarkStart w:id="118" w:name="_Toc151439782"/>
            <w:bookmarkStart w:id="119" w:name="_Toc163450703"/>
            <w:r>
              <w:rPr>
                <w:noProof/>
              </w:rPr>
              <w:t>Verlenen bouwvergunning ingrijpende verbouwing</w:t>
            </w:r>
            <w:bookmarkEnd w:id="114"/>
            <w:bookmarkEnd w:id="115"/>
            <w:bookmarkEnd w:id="116"/>
            <w:bookmarkEnd w:id="117"/>
            <w:bookmarkEnd w:id="118"/>
            <w:bookmarkEnd w:id="119"/>
          </w:p>
        </w:tc>
        <w:tc>
          <w:tcPr>
            <w:tcW w:w="2551" w:type="dxa"/>
          </w:tcPr>
          <w:p w:rsidR="00683684" w:rsidRDefault="00683684" w:rsidP="00825D89">
            <w:pPr>
              <w:spacing w:after="120"/>
              <w:rPr>
                <w:noProof/>
              </w:rPr>
            </w:pPr>
            <w:r>
              <w:rPr>
                <w:noProof/>
              </w:rPr>
              <w:t>BGR-VBI</w:t>
            </w:r>
          </w:p>
        </w:tc>
      </w:tr>
      <w:tr w:rsidR="00683684">
        <w:tc>
          <w:tcPr>
            <w:tcW w:w="6096" w:type="dxa"/>
          </w:tcPr>
          <w:p w:rsidR="00683684" w:rsidRDefault="00683684" w:rsidP="00825D89">
            <w:pPr>
              <w:spacing w:after="120"/>
              <w:rPr>
                <w:noProof/>
              </w:rPr>
            </w:pPr>
            <w:bookmarkStart w:id="120" w:name="_Toc146530823"/>
            <w:bookmarkStart w:id="121" w:name="_Toc146531318"/>
            <w:bookmarkStart w:id="122" w:name="_Toc146531428"/>
            <w:bookmarkStart w:id="123" w:name="_Toc146531498"/>
            <w:bookmarkStart w:id="124" w:name="_Toc146532305"/>
            <w:bookmarkStart w:id="125" w:name="_Toc151439766"/>
            <w:bookmarkStart w:id="126" w:name="_Toc163450687"/>
            <w:r>
              <w:rPr>
                <w:noProof/>
              </w:rPr>
              <w:lastRenderedPageBreak/>
              <w:t>Verlenen bouwvergunning</w:t>
            </w:r>
            <w:bookmarkEnd w:id="120"/>
            <w:bookmarkEnd w:id="121"/>
            <w:bookmarkEnd w:id="122"/>
            <w:bookmarkEnd w:id="123"/>
            <w:bookmarkEnd w:id="124"/>
            <w:bookmarkEnd w:id="125"/>
            <w:bookmarkEnd w:id="126"/>
            <w:r>
              <w:rPr>
                <w:noProof/>
              </w:rPr>
              <w:t xml:space="preserve"> </w:t>
            </w:r>
          </w:p>
        </w:tc>
        <w:tc>
          <w:tcPr>
            <w:tcW w:w="2551" w:type="dxa"/>
          </w:tcPr>
          <w:p w:rsidR="00683684" w:rsidRDefault="00683684" w:rsidP="00825D89">
            <w:pPr>
              <w:spacing w:after="120"/>
              <w:rPr>
                <w:noProof/>
              </w:rPr>
            </w:pPr>
            <w:r>
              <w:rPr>
                <w:noProof/>
              </w:rPr>
              <w:t>BGR-VBN</w:t>
            </w:r>
          </w:p>
        </w:tc>
      </w:tr>
      <w:tr w:rsidR="00683684">
        <w:tc>
          <w:tcPr>
            <w:tcW w:w="6096" w:type="dxa"/>
          </w:tcPr>
          <w:p w:rsidR="00683684" w:rsidRDefault="00683684" w:rsidP="00825D89">
            <w:pPr>
              <w:spacing w:after="120"/>
              <w:rPr>
                <w:noProof/>
              </w:rPr>
            </w:pPr>
            <w:bookmarkStart w:id="127" w:name="_Toc146531331"/>
            <w:bookmarkStart w:id="128" w:name="_Toc146531441"/>
            <w:bookmarkStart w:id="129" w:name="_Toc146531514"/>
            <w:bookmarkStart w:id="130" w:name="_Toc146532332"/>
            <w:bookmarkStart w:id="131" w:name="_Toc151439794"/>
            <w:bookmarkStart w:id="132" w:name="_Toc163450716"/>
            <w:r>
              <w:rPr>
                <w:noProof/>
              </w:rPr>
              <w:t>Geheel verdwijnen objecten door calamiteiten</w:t>
            </w:r>
            <w:bookmarkEnd w:id="127"/>
            <w:bookmarkEnd w:id="128"/>
            <w:bookmarkEnd w:id="129"/>
            <w:bookmarkEnd w:id="130"/>
            <w:bookmarkEnd w:id="131"/>
            <w:bookmarkEnd w:id="132"/>
          </w:p>
        </w:tc>
        <w:tc>
          <w:tcPr>
            <w:tcW w:w="2551" w:type="dxa"/>
          </w:tcPr>
          <w:p w:rsidR="00683684" w:rsidRDefault="00683684" w:rsidP="00825D89">
            <w:pPr>
              <w:spacing w:after="120"/>
              <w:rPr>
                <w:noProof/>
              </w:rPr>
            </w:pPr>
            <w:r>
              <w:rPr>
                <w:noProof/>
              </w:rPr>
              <w:t>BGR-VOCHEEL</w:t>
            </w:r>
          </w:p>
        </w:tc>
      </w:tr>
      <w:tr w:rsidR="00683684">
        <w:tc>
          <w:tcPr>
            <w:tcW w:w="6096" w:type="dxa"/>
          </w:tcPr>
          <w:p w:rsidR="00683684" w:rsidRDefault="00683684" w:rsidP="00825D89">
            <w:pPr>
              <w:spacing w:after="120"/>
              <w:rPr>
                <w:noProof/>
              </w:rPr>
            </w:pPr>
            <w:bookmarkStart w:id="133" w:name="_Toc146531332"/>
            <w:bookmarkStart w:id="134" w:name="_Toc146531442"/>
            <w:bookmarkStart w:id="135" w:name="_Toc146531515"/>
            <w:bookmarkStart w:id="136" w:name="_Toc146532333"/>
            <w:bookmarkStart w:id="137" w:name="_Toc151439795"/>
            <w:bookmarkStart w:id="138" w:name="_Toc163450717"/>
            <w:r>
              <w:rPr>
                <w:noProof/>
              </w:rPr>
              <w:t>Gedeeltelijk verdwijnen objecten door calamiteiten</w:t>
            </w:r>
            <w:bookmarkEnd w:id="133"/>
            <w:bookmarkEnd w:id="134"/>
            <w:bookmarkEnd w:id="135"/>
            <w:bookmarkEnd w:id="136"/>
            <w:bookmarkEnd w:id="137"/>
            <w:bookmarkEnd w:id="138"/>
          </w:p>
        </w:tc>
        <w:tc>
          <w:tcPr>
            <w:tcW w:w="2551" w:type="dxa"/>
          </w:tcPr>
          <w:p w:rsidR="00683684" w:rsidRDefault="00683684" w:rsidP="00825D89">
            <w:pPr>
              <w:spacing w:after="120"/>
              <w:rPr>
                <w:noProof/>
              </w:rPr>
            </w:pPr>
            <w:r>
              <w:rPr>
                <w:noProof/>
              </w:rPr>
              <w:t>BGR-VOCDEEL</w:t>
            </w:r>
          </w:p>
        </w:tc>
      </w:tr>
      <w:tr w:rsidR="00683684">
        <w:tc>
          <w:tcPr>
            <w:tcW w:w="6096" w:type="dxa"/>
          </w:tcPr>
          <w:p w:rsidR="00683684" w:rsidRDefault="00683684" w:rsidP="00825D89">
            <w:pPr>
              <w:spacing w:after="120"/>
              <w:rPr>
                <w:noProof/>
              </w:rPr>
            </w:pPr>
            <w:bookmarkStart w:id="139" w:name="_Toc146531329"/>
            <w:bookmarkStart w:id="140" w:name="_Toc146531439"/>
            <w:bookmarkStart w:id="141" w:name="_Toc146531512"/>
            <w:bookmarkStart w:id="142" w:name="_Toc146532328"/>
            <w:bookmarkStart w:id="143" w:name="_Toc151439790"/>
            <w:bookmarkStart w:id="144" w:name="_Toc163450712"/>
            <w:r>
              <w:rPr>
                <w:noProof/>
              </w:rPr>
              <w:t>Verlenen sloopvergunning</w:t>
            </w:r>
            <w:bookmarkEnd w:id="139"/>
            <w:bookmarkEnd w:id="140"/>
            <w:bookmarkEnd w:id="141"/>
            <w:bookmarkEnd w:id="142"/>
            <w:bookmarkEnd w:id="143"/>
            <w:bookmarkEnd w:id="144"/>
          </w:p>
        </w:tc>
        <w:tc>
          <w:tcPr>
            <w:tcW w:w="2551" w:type="dxa"/>
          </w:tcPr>
          <w:p w:rsidR="00683684" w:rsidRDefault="00683684" w:rsidP="00825D89">
            <w:pPr>
              <w:spacing w:after="120"/>
              <w:rPr>
                <w:noProof/>
              </w:rPr>
            </w:pPr>
            <w:r>
              <w:rPr>
                <w:noProof/>
              </w:rPr>
              <w:t>BGR-VSL</w:t>
            </w:r>
          </w:p>
        </w:tc>
      </w:tr>
      <w:tr w:rsidR="00683684">
        <w:tc>
          <w:tcPr>
            <w:tcW w:w="6096" w:type="dxa"/>
          </w:tcPr>
          <w:p w:rsidR="00683684" w:rsidRDefault="00683684" w:rsidP="00825D89">
            <w:pPr>
              <w:spacing w:after="120"/>
              <w:rPr>
                <w:noProof/>
              </w:rPr>
            </w:pPr>
            <w:bookmarkStart w:id="145" w:name="_Toc146531363"/>
            <w:bookmarkStart w:id="146" w:name="_Toc146531473"/>
            <w:bookmarkStart w:id="147" w:name="_Toc146531556"/>
            <w:bookmarkStart w:id="148" w:name="_Toc146532386"/>
            <w:bookmarkStart w:id="149" w:name="_Toc151439813"/>
            <w:bookmarkStart w:id="150" w:name="_Toc163450735"/>
            <w:r>
              <w:rPr>
                <w:noProof/>
              </w:rPr>
              <w:t>Benoemen openbare ruimte</w:t>
            </w:r>
            <w:bookmarkEnd w:id="145"/>
            <w:bookmarkEnd w:id="146"/>
            <w:bookmarkEnd w:id="147"/>
            <w:bookmarkEnd w:id="148"/>
            <w:bookmarkEnd w:id="149"/>
            <w:bookmarkEnd w:id="150"/>
          </w:p>
        </w:tc>
        <w:tc>
          <w:tcPr>
            <w:tcW w:w="2551" w:type="dxa"/>
          </w:tcPr>
          <w:p w:rsidR="00683684" w:rsidRDefault="00683684" w:rsidP="00825D89">
            <w:pPr>
              <w:spacing w:after="120"/>
              <w:rPr>
                <w:noProof/>
              </w:rPr>
            </w:pPr>
            <w:r>
              <w:rPr>
                <w:noProof/>
              </w:rPr>
              <w:t>BRA-BOR</w:t>
            </w:r>
          </w:p>
        </w:tc>
      </w:tr>
      <w:tr w:rsidR="00683684">
        <w:tc>
          <w:tcPr>
            <w:tcW w:w="6096" w:type="dxa"/>
          </w:tcPr>
          <w:p w:rsidR="00683684" w:rsidRDefault="00683684" w:rsidP="00825D89">
            <w:pPr>
              <w:spacing w:after="120"/>
              <w:rPr>
                <w:noProof/>
              </w:rPr>
            </w:pPr>
            <w:r>
              <w:rPr>
                <w:noProof/>
              </w:rPr>
              <w:t>Benoemen woonplaats</w:t>
            </w:r>
          </w:p>
        </w:tc>
        <w:tc>
          <w:tcPr>
            <w:tcW w:w="2551" w:type="dxa"/>
          </w:tcPr>
          <w:p w:rsidR="00683684" w:rsidRDefault="00683684" w:rsidP="00825D89">
            <w:pPr>
              <w:spacing w:after="120"/>
              <w:rPr>
                <w:noProof/>
              </w:rPr>
            </w:pPr>
            <w:r>
              <w:rPr>
                <w:noProof/>
              </w:rPr>
              <w:t>BRA-BWP</w:t>
            </w:r>
          </w:p>
        </w:tc>
      </w:tr>
      <w:tr w:rsidR="00683684">
        <w:tc>
          <w:tcPr>
            <w:tcW w:w="6096" w:type="dxa"/>
          </w:tcPr>
          <w:p w:rsidR="00683684" w:rsidRDefault="00683684" w:rsidP="00825D89">
            <w:pPr>
              <w:spacing w:after="120"/>
              <w:rPr>
                <w:noProof/>
              </w:rPr>
            </w:pPr>
            <w:bookmarkStart w:id="151" w:name="_Toc163450741"/>
            <w:r>
              <w:rPr>
                <w:noProof/>
              </w:rPr>
              <w:t>Gedeeltelijk hernoemen openbare ruimte</w:t>
            </w:r>
            <w:bookmarkEnd w:id="151"/>
          </w:p>
        </w:tc>
        <w:tc>
          <w:tcPr>
            <w:tcW w:w="2551" w:type="dxa"/>
          </w:tcPr>
          <w:p w:rsidR="00683684" w:rsidRDefault="00683684" w:rsidP="00825D89">
            <w:pPr>
              <w:spacing w:after="120"/>
              <w:rPr>
                <w:noProof/>
              </w:rPr>
            </w:pPr>
            <w:r>
              <w:rPr>
                <w:noProof/>
              </w:rPr>
              <w:t>BRA-GHO</w:t>
            </w:r>
          </w:p>
        </w:tc>
      </w:tr>
      <w:tr w:rsidR="00683684">
        <w:tc>
          <w:tcPr>
            <w:tcW w:w="6096" w:type="dxa"/>
          </w:tcPr>
          <w:p w:rsidR="00683684" w:rsidRDefault="00683684" w:rsidP="00825D89">
            <w:pPr>
              <w:spacing w:after="120"/>
              <w:rPr>
                <w:noProof/>
              </w:rPr>
            </w:pPr>
            <w:bookmarkStart w:id="152" w:name="_Toc151439804"/>
            <w:bookmarkStart w:id="153" w:name="_Toc163450726"/>
            <w:r>
              <w:rPr>
                <w:noProof/>
              </w:rPr>
              <w:t>Hernummeren adresseerbaar object</w:t>
            </w:r>
            <w:bookmarkEnd w:id="152"/>
            <w:bookmarkEnd w:id="153"/>
          </w:p>
        </w:tc>
        <w:tc>
          <w:tcPr>
            <w:tcW w:w="2551" w:type="dxa"/>
          </w:tcPr>
          <w:p w:rsidR="00683684" w:rsidRDefault="00683684" w:rsidP="00825D89">
            <w:pPr>
              <w:spacing w:after="120"/>
              <w:rPr>
                <w:noProof/>
              </w:rPr>
            </w:pPr>
            <w:r>
              <w:rPr>
                <w:noProof/>
              </w:rPr>
              <w:t>BRA-HNU</w:t>
            </w:r>
          </w:p>
        </w:tc>
      </w:tr>
      <w:tr w:rsidR="00683684">
        <w:tc>
          <w:tcPr>
            <w:tcW w:w="6096" w:type="dxa"/>
          </w:tcPr>
          <w:p w:rsidR="00683684" w:rsidRDefault="00683684" w:rsidP="00825D89">
            <w:pPr>
              <w:spacing w:after="120"/>
              <w:rPr>
                <w:noProof/>
              </w:rPr>
            </w:pPr>
            <w:bookmarkStart w:id="154" w:name="_Toc146531364"/>
            <w:bookmarkStart w:id="155" w:name="_Toc146531474"/>
            <w:bookmarkStart w:id="156" w:name="_Toc146531557"/>
            <w:bookmarkStart w:id="157" w:name="_Toc146532388"/>
            <w:bookmarkStart w:id="158" w:name="_Toc151439815"/>
            <w:bookmarkStart w:id="159" w:name="_Toc163450737"/>
            <w:r>
              <w:rPr>
                <w:noProof/>
              </w:rPr>
              <w:t>Hernoemen openbare ruimte</w:t>
            </w:r>
            <w:bookmarkEnd w:id="154"/>
            <w:bookmarkEnd w:id="155"/>
            <w:bookmarkEnd w:id="156"/>
            <w:bookmarkEnd w:id="157"/>
            <w:bookmarkEnd w:id="158"/>
            <w:bookmarkEnd w:id="159"/>
            <w:r>
              <w:rPr>
                <w:noProof/>
              </w:rPr>
              <w:t xml:space="preserve"> buurgemeente</w:t>
            </w:r>
          </w:p>
        </w:tc>
        <w:tc>
          <w:tcPr>
            <w:tcW w:w="2551" w:type="dxa"/>
          </w:tcPr>
          <w:p w:rsidR="00683684" w:rsidRDefault="00683684" w:rsidP="00825D89">
            <w:pPr>
              <w:spacing w:after="120"/>
              <w:rPr>
                <w:noProof/>
              </w:rPr>
            </w:pPr>
            <w:r>
              <w:rPr>
                <w:noProof/>
              </w:rPr>
              <w:t>BRA-HOB</w:t>
            </w:r>
          </w:p>
        </w:tc>
      </w:tr>
      <w:tr w:rsidR="00683684">
        <w:tc>
          <w:tcPr>
            <w:tcW w:w="6096" w:type="dxa"/>
          </w:tcPr>
          <w:p w:rsidR="00683684" w:rsidRDefault="00683684" w:rsidP="00825D89">
            <w:pPr>
              <w:spacing w:after="120"/>
              <w:rPr>
                <w:noProof/>
              </w:rPr>
            </w:pPr>
            <w:r>
              <w:rPr>
                <w:noProof/>
              </w:rPr>
              <w:t>Hernoemen openbare ruimte</w:t>
            </w:r>
          </w:p>
        </w:tc>
        <w:tc>
          <w:tcPr>
            <w:tcW w:w="2551" w:type="dxa"/>
          </w:tcPr>
          <w:p w:rsidR="00683684" w:rsidRDefault="00683684" w:rsidP="00825D89">
            <w:pPr>
              <w:spacing w:after="120"/>
              <w:rPr>
                <w:noProof/>
              </w:rPr>
            </w:pPr>
            <w:r>
              <w:rPr>
                <w:noProof/>
              </w:rPr>
              <w:t>BRA-HOR</w:t>
            </w:r>
          </w:p>
        </w:tc>
      </w:tr>
      <w:tr w:rsidR="00683684">
        <w:tc>
          <w:tcPr>
            <w:tcW w:w="6096" w:type="dxa"/>
          </w:tcPr>
          <w:p w:rsidR="00683684" w:rsidRDefault="00683684" w:rsidP="00825D89">
            <w:pPr>
              <w:spacing w:after="120"/>
              <w:rPr>
                <w:noProof/>
              </w:rPr>
            </w:pPr>
            <w:bookmarkStart w:id="160" w:name="_Toc146531367"/>
            <w:bookmarkStart w:id="161" w:name="_Toc146531477"/>
            <w:bookmarkStart w:id="162" w:name="_Toc146531561"/>
            <w:bookmarkStart w:id="163" w:name="_Toc146532395"/>
            <w:bookmarkStart w:id="164" w:name="_Toc151439822"/>
            <w:bookmarkStart w:id="165" w:name="_Toc163450746"/>
            <w:r>
              <w:rPr>
                <w:noProof/>
              </w:rPr>
              <w:t>Hernoemen woonplaats</w:t>
            </w:r>
            <w:bookmarkEnd w:id="160"/>
            <w:bookmarkEnd w:id="161"/>
            <w:bookmarkEnd w:id="162"/>
            <w:bookmarkEnd w:id="163"/>
            <w:bookmarkEnd w:id="164"/>
            <w:bookmarkEnd w:id="165"/>
          </w:p>
        </w:tc>
        <w:tc>
          <w:tcPr>
            <w:tcW w:w="2551" w:type="dxa"/>
          </w:tcPr>
          <w:p w:rsidR="00683684" w:rsidRDefault="00683684" w:rsidP="00825D89">
            <w:pPr>
              <w:spacing w:after="120"/>
              <w:rPr>
                <w:noProof/>
              </w:rPr>
            </w:pPr>
            <w:r>
              <w:rPr>
                <w:noProof/>
              </w:rPr>
              <w:t>BRA-HWP</w:t>
            </w:r>
          </w:p>
        </w:tc>
      </w:tr>
      <w:tr w:rsidR="00683684">
        <w:tc>
          <w:tcPr>
            <w:tcW w:w="6096" w:type="dxa"/>
          </w:tcPr>
          <w:p w:rsidR="00683684" w:rsidRDefault="00683684" w:rsidP="00825D89">
            <w:pPr>
              <w:spacing w:after="120"/>
              <w:rPr>
                <w:noProof/>
              </w:rPr>
            </w:pPr>
            <w:bookmarkStart w:id="166" w:name="_Toc146531365"/>
            <w:bookmarkStart w:id="167" w:name="_Toc146531475"/>
            <w:bookmarkStart w:id="168" w:name="_Toc146531558"/>
            <w:bookmarkStart w:id="169" w:name="_Toc146532390"/>
            <w:bookmarkStart w:id="170" w:name="_Toc151439817"/>
            <w:bookmarkStart w:id="171" w:name="_Toc163450739"/>
            <w:r>
              <w:rPr>
                <w:noProof/>
              </w:rPr>
              <w:t>Intrekken openbare ruimte</w:t>
            </w:r>
            <w:bookmarkEnd w:id="166"/>
            <w:bookmarkEnd w:id="167"/>
            <w:bookmarkEnd w:id="168"/>
            <w:bookmarkEnd w:id="169"/>
            <w:bookmarkEnd w:id="170"/>
            <w:bookmarkEnd w:id="171"/>
          </w:p>
        </w:tc>
        <w:tc>
          <w:tcPr>
            <w:tcW w:w="2551" w:type="dxa"/>
          </w:tcPr>
          <w:p w:rsidR="00683684" w:rsidRDefault="00683684" w:rsidP="00825D89">
            <w:pPr>
              <w:spacing w:after="120"/>
              <w:rPr>
                <w:noProof/>
              </w:rPr>
            </w:pPr>
            <w:r>
              <w:rPr>
                <w:noProof/>
              </w:rPr>
              <w:t>BRA-IOR</w:t>
            </w:r>
          </w:p>
        </w:tc>
      </w:tr>
      <w:tr w:rsidR="00683684">
        <w:tc>
          <w:tcPr>
            <w:tcW w:w="6096" w:type="dxa"/>
          </w:tcPr>
          <w:p w:rsidR="00683684" w:rsidRDefault="00683684" w:rsidP="00825D89">
            <w:pPr>
              <w:spacing w:after="120"/>
              <w:rPr>
                <w:noProof/>
              </w:rPr>
            </w:pPr>
            <w:bookmarkStart w:id="172" w:name="_Toc146531368"/>
            <w:bookmarkStart w:id="173" w:name="_Toc146531478"/>
            <w:bookmarkStart w:id="174" w:name="_Toc146531562"/>
            <w:bookmarkStart w:id="175" w:name="_Toc146532397"/>
            <w:bookmarkStart w:id="176" w:name="_Toc151439824"/>
            <w:bookmarkStart w:id="177" w:name="_Toc163450748"/>
            <w:r>
              <w:rPr>
                <w:noProof/>
              </w:rPr>
              <w:t>Intrekken woonplaats</w:t>
            </w:r>
            <w:bookmarkEnd w:id="172"/>
            <w:bookmarkEnd w:id="173"/>
            <w:bookmarkEnd w:id="174"/>
            <w:bookmarkEnd w:id="175"/>
            <w:bookmarkEnd w:id="176"/>
            <w:bookmarkEnd w:id="177"/>
          </w:p>
        </w:tc>
        <w:tc>
          <w:tcPr>
            <w:tcW w:w="2551" w:type="dxa"/>
          </w:tcPr>
          <w:p w:rsidR="00683684" w:rsidRDefault="00683684" w:rsidP="00825D89">
            <w:pPr>
              <w:spacing w:after="120"/>
              <w:rPr>
                <w:noProof/>
              </w:rPr>
            </w:pPr>
            <w:r>
              <w:rPr>
                <w:noProof/>
              </w:rPr>
              <w:t>BRA-IWP</w:t>
            </w:r>
          </w:p>
        </w:tc>
      </w:tr>
      <w:tr w:rsidR="00683684">
        <w:tc>
          <w:tcPr>
            <w:tcW w:w="6096" w:type="dxa"/>
          </w:tcPr>
          <w:p w:rsidR="00683684" w:rsidRDefault="00683684" w:rsidP="00825D89">
            <w:pPr>
              <w:spacing w:after="120"/>
              <w:rPr>
                <w:noProof/>
              </w:rPr>
            </w:pPr>
            <w:bookmarkStart w:id="178" w:name="_Toc163450709"/>
            <w:r>
              <w:rPr>
                <w:noProof/>
              </w:rPr>
              <w:t>Hoofd- en nevenadres adresseerbaar object omdraaien</w:t>
            </w:r>
            <w:bookmarkEnd w:id="178"/>
          </w:p>
        </w:tc>
        <w:tc>
          <w:tcPr>
            <w:tcW w:w="2551" w:type="dxa"/>
          </w:tcPr>
          <w:p w:rsidR="00683684" w:rsidRDefault="00683684" w:rsidP="00825D89">
            <w:pPr>
              <w:spacing w:after="120"/>
              <w:rPr>
                <w:noProof/>
              </w:rPr>
            </w:pPr>
            <w:r>
              <w:rPr>
                <w:noProof/>
              </w:rPr>
              <w:t>BRA-OHN</w:t>
            </w:r>
          </w:p>
        </w:tc>
      </w:tr>
      <w:tr w:rsidR="00683684">
        <w:tc>
          <w:tcPr>
            <w:tcW w:w="6096" w:type="dxa"/>
          </w:tcPr>
          <w:p w:rsidR="00683684" w:rsidRDefault="00683684" w:rsidP="00825D89">
            <w:pPr>
              <w:spacing w:after="120"/>
              <w:rPr>
                <w:noProof/>
              </w:rPr>
            </w:pPr>
            <w:bookmarkStart w:id="179" w:name="_Toc146530824"/>
            <w:bookmarkStart w:id="180" w:name="_Toc146531319"/>
            <w:bookmarkStart w:id="181" w:name="_Toc146531429"/>
            <w:bookmarkStart w:id="182" w:name="_Toc146531499"/>
            <w:bookmarkStart w:id="183" w:name="_Toc146532307"/>
            <w:bookmarkStart w:id="184" w:name="_Toc151439768"/>
            <w:bookmarkStart w:id="185" w:name="_Toc163450689"/>
            <w:r>
              <w:rPr>
                <w:noProof/>
              </w:rPr>
              <w:t>Ontvangen postcode</w:t>
            </w:r>
            <w:bookmarkEnd w:id="179"/>
            <w:bookmarkEnd w:id="180"/>
            <w:bookmarkEnd w:id="181"/>
            <w:bookmarkEnd w:id="182"/>
            <w:bookmarkEnd w:id="183"/>
            <w:bookmarkEnd w:id="184"/>
            <w:bookmarkEnd w:id="185"/>
          </w:p>
        </w:tc>
        <w:tc>
          <w:tcPr>
            <w:tcW w:w="2551" w:type="dxa"/>
          </w:tcPr>
          <w:p w:rsidR="00683684" w:rsidRDefault="00683684" w:rsidP="00825D89">
            <w:pPr>
              <w:spacing w:after="120"/>
              <w:rPr>
                <w:noProof/>
              </w:rPr>
            </w:pPr>
            <w:r>
              <w:rPr>
                <w:noProof/>
              </w:rPr>
              <w:t>BRA-OPC</w:t>
            </w:r>
          </w:p>
        </w:tc>
      </w:tr>
      <w:tr w:rsidR="00683684">
        <w:tc>
          <w:tcPr>
            <w:tcW w:w="6096" w:type="dxa"/>
          </w:tcPr>
          <w:p w:rsidR="00683684" w:rsidRDefault="00683684" w:rsidP="00825D89">
            <w:pPr>
              <w:spacing w:after="120"/>
              <w:rPr>
                <w:noProof/>
              </w:rPr>
            </w:pPr>
            <w:r>
              <w:rPr>
                <w:noProof/>
              </w:rPr>
              <w:t>Wijzigen grens woonplaats</w:t>
            </w:r>
          </w:p>
        </w:tc>
        <w:tc>
          <w:tcPr>
            <w:tcW w:w="2551" w:type="dxa"/>
          </w:tcPr>
          <w:p w:rsidR="00683684" w:rsidRDefault="00683684" w:rsidP="00825D89">
            <w:pPr>
              <w:spacing w:after="120"/>
              <w:rPr>
                <w:noProof/>
              </w:rPr>
            </w:pPr>
            <w:r>
              <w:rPr>
                <w:noProof/>
              </w:rPr>
              <w:t>BRA-WGW</w:t>
            </w:r>
          </w:p>
        </w:tc>
      </w:tr>
    </w:tbl>
    <w:p w:rsidR="00683684" w:rsidRDefault="00683684" w:rsidP="00683684"/>
    <w:p w:rsidR="00683684" w:rsidRDefault="00683684" w:rsidP="00825D89">
      <w:pPr>
        <w:spacing w:after="0"/>
      </w:pPr>
      <w:r>
        <w:t>De volgende code is specifiek opgenomen voor de initiële vulling van de BAG-gegevens in de GBA:</w:t>
      </w:r>
      <w:r>
        <w:br/>
      </w:r>
    </w:p>
    <w:tbl>
      <w:tblPr>
        <w:tblW w:w="8647" w:type="dxa"/>
        <w:tblInd w:w="108" w:type="dxa"/>
        <w:tblLayout w:type="fixed"/>
        <w:tblLook w:val="0000" w:firstRow="0" w:lastRow="0" w:firstColumn="0" w:lastColumn="0" w:noHBand="0" w:noVBand="0"/>
      </w:tblPr>
      <w:tblGrid>
        <w:gridCol w:w="6096"/>
        <w:gridCol w:w="2551"/>
      </w:tblGrid>
      <w:tr w:rsidR="00683684">
        <w:tc>
          <w:tcPr>
            <w:tcW w:w="6096" w:type="dxa"/>
            <w:tcBorders>
              <w:top w:val="single" w:sz="4" w:space="0" w:color="000000"/>
              <w:left w:val="single" w:sz="4" w:space="0" w:color="000000"/>
              <w:bottom w:val="single" w:sz="4" w:space="0" w:color="000000"/>
            </w:tcBorders>
            <w:shd w:val="clear" w:color="auto" w:fill="C0C0C0"/>
          </w:tcPr>
          <w:p w:rsidR="00683684" w:rsidRDefault="00683684">
            <w:pPr>
              <w:rPr>
                <w:b/>
              </w:rPr>
            </w:pPr>
            <w:r>
              <w:rPr>
                <w:b/>
              </w:rPr>
              <w:t>BAG-proces</w:t>
            </w:r>
          </w:p>
        </w:tc>
        <w:tc>
          <w:tcPr>
            <w:tcW w:w="2551" w:type="dxa"/>
            <w:tcBorders>
              <w:top w:val="single" w:sz="4" w:space="0" w:color="000000"/>
              <w:left w:val="single" w:sz="4" w:space="0" w:color="000000"/>
              <w:bottom w:val="single" w:sz="4" w:space="0" w:color="000000"/>
              <w:right w:val="single" w:sz="4" w:space="0" w:color="000000"/>
            </w:tcBorders>
            <w:shd w:val="clear" w:color="auto" w:fill="C0C0C0"/>
          </w:tcPr>
          <w:p w:rsidR="00683684" w:rsidRDefault="00683684">
            <w:pPr>
              <w:jc w:val="center"/>
              <w:rPr>
                <w:b/>
                <w:noProof/>
              </w:rPr>
            </w:pPr>
            <w:r>
              <w:rPr>
                <w:b/>
                <w:noProof/>
              </w:rPr>
              <w:t>Code gebeurtenis</w:t>
            </w:r>
          </w:p>
        </w:tc>
      </w:tr>
      <w:tr w:rsidR="00683684">
        <w:tc>
          <w:tcPr>
            <w:tcW w:w="6096" w:type="dxa"/>
            <w:tcBorders>
              <w:top w:val="single" w:sz="4" w:space="0" w:color="000000"/>
              <w:left w:val="single" w:sz="4" w:space="0" w:color="000000"/>
              <w:bottom w:val="single" w:sz="4" w:space="0" w:color="000000"/>
            </w:tcBorders>
          </w:tcPr>
          <w:p w:rsidR="00683684" w:rsidRDefault="00683684" w:rsidP="00825D89">
            <w:pPr>
              <w:spacing w:after="120"/>
              <w:rPr>
                <w:noProof/>
              </w:rPr>
            </w:pPr>
            <w:r>
              <w:rPr>
                <w:noProof/>
              </w:rPr>
              <w:t>Initiële vulling GBA</w:t>
            </w:r>
          </w:p>
        </w:tc>
        <w:tc>
          <w:tcPr>
            <w:tcW w:w="2551" w:type="dxa"/>
            <w:tcBorders>
              <w:top w:val="single" w:sz="4" w:space="0" w:color="000000"/>
              <w:left w:val="single" w:sz="4" w:space="0" w:color="000000"/>
              <w:bottom w:val="single" w:sz="4" w:space="0" w:color="000000"/>
              <w:right w:val="single" w:sz="4" w:space="0" w:color="000000"/>
            </w:tcBorders>
          </w:tcPr>
          <w:p w:rsidR="00683684" w:rsidRDefault="00683684" w:rsidP="00825D89">
            <w:pPr>
              <w:spacing w:after="120"/>
              <w:rPr>
                <w:noProof/>
              </w:rPr>
            </w:pPr>
            <w:r>
              <w:rPr>
                <w:noProof/>
              </w:rPr>
              <w:t>BRA-GBASYNC</w:t>
            </w:r>
          </w:p>
        </w:tc>
      </w:tr>
    </w:tbl>
    <w:p w:rsidR="00683684" w:rsidRDefault="00683684" w:rsidP="00683684">
      <w:pPr>
        <w:jc w:val="both"/>
      </w:pPr>
    </w:p>
    <w:p w:rsidR="00683684" w:rsidRDefault="00683684" w:rsidP="00054ED3">
      <w:pPr>
        <w:pStyle w:val="Kop1"/>
      </w:pPr>
      <w:r>
        <w:br w:type="page"/>
      </w:r>
      <w:bookmarkStart w:id="186" w:name="_Toc161406707"/>
      <w:r w:rsidRPr="00133700">
        <w:lastRenderedPageBreak/>
        <w:t xml:space="preserve">Bijlage </w:t>
      </w:r>
      <w:r>
        <w:t>C</w:t>
      </w:r>
      <w:r w:rsidRPr="00133700">
        <w:t xml:space="preserve">, </w:t>
      </w:r>
      <w:r>
        <w:t>Legenda processchema’s</w:t>
      </w:r>
      <w:bookmarkEnd w:id="186"/>
    </w:p>
    <w:p w:rsidR="00683684" w:rsidRDefault="00683684" w:rsidP="00683684">
      <w:pPr>
        <w:jc w:val="both"/>
      </w:pPr>
      <w:r>
        <w:t xml:space="preserve">In de processchema’s worden de volgende symbolen gebruikt (zie figuur </w:t>
      </w:r>
      <w:r w:rsidR="00DD1CF5">
        <w:t>C1</w:t>
      </w:r>
      <w:r>
        <w:t>). Deze zijn overeen</w:t>
      </w:r>
      <w:r w:rsidR="00DD1CF5">
        <w:softHyphen/>
      </w:r>
      <w:r>
        <w:t>kom</w:t>
      </w:r>
      <w:r w:rsidR="00DD1CF5">
        <w:softHyphen/>
      </w:r>
      <w:r>
        <w:t xml:space="preserve">stig de standaard </w:t>
      </w:r>
      <w:r w:rsidRPr="005B1C24">
        <w:t xml:space="preserve">BPMN </w:t>
      </w:r>
      <w:r>
        <w:t>(Business Process Model and Notation: zie</w:t>
      </w:r>
      <w:r w:rsidRPr="000903C8">
        <w:t xml:space="preserve"> </w:t>
      </w:r>
      <w:r>
        <w:t>bijlage E voor het gebruikte docu</w:t>
      </w:r>
      <w:r w:rsidR="00DD1CF5">
        <w:softHyphen/>
      </w:r>
      <w:r>
        <w:t xml:space="preserve">ment of </w:t>
      </w:r>
      <w:hyperlink r:id="rId16" w:history="1">
        <w:r w:rsidRPr="002B73A6">
          <w:t>www.BPMI.org</w:t>
        </w:r>
      </w:hyperlink>
      <w:r>
        <w:t>).</w:t>
      </w:r>
    </w:p>
    <w:p w:rsidR="00683684" w:rsidRDefault="00922526" w:rsidP="00683684">
      <w:pPr>
        <w:jc w:val="both"/>
      </w:pPr>
      <w:r>
        <w:rPr>
          <w:noProof/>
          <w:lang w:val="en-US" w:eastAsia="nl-NL"/>
        </w:rPr>
        <w:drawing>
          <wp:inline distT="0" distB="0" distL="0" distR="0">
            <wp:extent cx="3992880" cy="7144385"/>
            <wp:effectExtent l="25400" t="0" r="0" b="0"/>
            <wp:docPr id="19"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3992880" cy="7144385"/>
                    </a:xfrm>
                    <a:prstGeom prst="rect">
                      <a:avLst/>
                    </a:prstGeom>
                    <a:noFill/>
                    <a:ln w="9525">
                      <a:noFill/>
                      <a:miter lim="800000"/>
                      <a:headEnd/>
                      <a:tailEnd/>
                    </a:ln>
                  </pic:spPr>
                </pic:pic>
              </a:graphicData>
            </a:graphic>
          </wp:inline>
        </w:drawing>
      </w:r>
    </w:p>
    <w:p w:rsidR="00683684" w:rsidRPr="00384C3D" w:rsidRDefault="00683684" w:rsidP="00683684">
      <w:pPr>
        <w:jc w:val="both"/>
        <w:rPr>
          <w:b/>
        </w:rPr>
      </w:pPr>
      <w:r w:rsidRPr="00384C3D">
        <w:rPr>
          <w:b/>
        </w:rPr>
        <w:t xml:space="preserve">Figuur </w:t>
      </w:r>
      <w:r w:rsidR="00DD1CF5">
        <w:rPr>
          <w:b/>
        </w:rPr>
        <w:t>C1</w:t>
      </w:r>
      <w:r w:rsidRPr="00384C3D">
        <w:rPr>
          <w:b/>
        </w:rPr>
        <w:t>, Legenda processchema’s</w:t>
      </w:r>
    </w:p>
    <w:p w:rsidR="00683684" w:rsidRPr="007642D7" w:rsidRDefault="00683684" w:rsidP="00054ED3">
      <w:pPr>
        <w:pStyle w:val="Kop1"/>
      </w:pPr>
      <w:r w:rsidRPr="007B6F8A">
        <w:br w:type="page"/>
      </w:r>
      <w:bookmarkStart w:id="187" w:name="_Toc161406708"/>
      <w:r>
        <w:lastRenderedPageBreak/>
        <w:t>Bijlage D,</w:t>
      </w:r>
      <w:r w:rsidRPr="007642D7">
        <w:t xml:space="preserve"> </w:t>
      </w:r>
      <w:r>
        <w:t>Achtergrond basisregistraties</w:t>
      </w:r>
      <w:bookmarkEnd w:id="187"/>
    </w:p>
    <w:p w:rsidR="00683684" w:rsidRPr="002F1E29" w:rsidRDefault="00683684" w:rsidP="002F1E29">
      <w:pPr>
        <w:pStyle w:val="Kop2"/>
      </w:pPr>
      <w:bookmarkStart w:id="188" w:name="_Toc161406709"/>
      <w:r w:rsidRPr="002F1E29">
        <w:t>Het Stelsel van Basisregistraties</w:t>
      </w:r>
      <w:bookmarkEnd w:id="188"/>
    </w:p>
    <w:p w:rsidR="00683684" w:rsidRDefault="00683684" w:rsidP="00683684">
      <w:pPr>
        <w:jc w:val="both"/>
      </w:pPr>
      <w:r>
        <w:t>Basisregistraties zijn verzamelingen van authentieke gegevens van hoge kwaliteit en bevatten de vitale gegevens van de overheid, zoals de gegevens van burgers, adressen, gebouwen, bedrijven en instellingen. Deze gegevens zijn nodig voor een goed functio</w:t>
      </w:r>
      <w:r>
        <w:softHyphen/>
        <w:t>nerende overheid en vormen de basis voor de moderne (vaak ook elektro</w:t>
      </w:r>
      <w:r>
        <w:softHyphen/>
        <w:t>ni</w:t>
      </w:r>
      <w:r>
        <w:softHyphen/>
        <w:t>sche) dienst</w:t>
      </w:r>
      <w:r>
        <w:softHyphen/>
        <w:t>verlening van die overheid. De gegevens in de basisregistraties worden een</w:t>
      </w:r>
      <w:r>
        <w:softHyphen/>
        <w:t>malig inge</w:t>
      </w:r>
      <w:r>
        <w:softHyphen/>
        <w:t>won</w:t>
      </w:r>
      <w:r>
        <w:softHyphen/>
        <w:t>nen en vervolgens meervoudig gebruikt.</w:t>
      </w:r>
    </w:p>
    <w:p w:rsidR="00683684" w:rsidRDefault="00683684" w:rsidP="00683684">
      <w:pPr>
        <w:jc w:val="both"/>
      </w:pPr>
      <w:r>
        <w:t xml:space="preserve">Op termijn vormen de basisregistraties een samenhangend stelsel (zie figuur 1), waarbij gegevens </w:t>
      </w:r>
      <w:r w:rsidR="00A64E3F">
        <w:t xml:space="preserve">in één bron </w:t>
      </w:r>
      <w:r>
        <w:t>worden onderhouden. Andere registraties maken hiervan gebruik door onderlinge gege</w:t>
      </w:r>
      <w:r w:rsidR="009E6662">
        <w:softHyphen/>
      </w:r>
      <w:r>
        <w:t>vens</w:t>
      </w:r>
      <w:r w:rsidR="009E6662">
        <w:softHyphen/>
      </w:r>
      <w:r>
        <w:t>uitwisseling. Alle overheden zijn verplicht om de authentieke gegevens van de basisregistraties te gebruiken voor hun publieke taken en bij twijfel aan de juistheid</w:t>
      </w:r>
      <w:r w:rsidR="00B34056">
        <w:t xml:space="preserve"> van die gege</w:t>
      </w:r>
      <w:r w:rsidR="00B34056">
        <w:softHyphen/>
        <w:t>vens</w:t>
      </w:r>
      <w:r>
        <w:t>, dit te melden naar de bron van die gegevens (‘terugmel</w:t>
      </w:r>
      <w:r>
        <w:softHyphen/>
        <w:t xml:space="preserve">den'). Dit draagt bij tot verbetering van de kwaliteit. </w:t>
      </w:r>
    </w:p>
    <w:p w:rsidR="00683684" w:rsidRDefault="00683684" w:rsidP="00683684">
      <w:pPr>
        <w:jc w:val="both"/>
      </w:pPr>
      <w:r w:rsidRPr="00833F92">
        <w:rPr>
          <w:u w:val="single"/>
        </w:rPr>
        <w:t>Opmerking</w:t>
      </w:r>
      <w:r>
        <w:t>: De bron van de gegevens hoeft niet altijd de bron</w:t>
      </w:r>
      <w:r>
        <w:softHyphen/>
        <w:t>hou</w:t>
      </w:r>
      <w:r>
        <w:softHyphen/>
      </w:r>
      <w:r>
        <w:softHyphen/>
        <w:t>der te zijn. Als de gege</w:t>
      </w:r>
      <w:r>
        <w:softHyphen/>
        <w:t>vens uit de GBA zijn verkregen, en de adressen uit de BAG zijn ‘meege</w:t>
      </w:r>
      <w:r>
        <w:softHyphen/>
        <w:t>le</w:t>
      </w:r>
      <w:r>
        <w:softHyphen/>
        <w:t>verd’, wordt er bij twijfel naar de GBA teruggemeld. De GBA kan zonodig verder naar de BAG terug</w:t>
      </w:r>
      <w:r>
        <w:softHyphen/>
        <w:t>melden.</w:t>
      </w:r>
    </w:p>
    <w:p w:rsidR="00683684" w:rsidRDefault="00683684" w:rsidP="00683684">
      <w:pPr>
        <w:jc w:val="both"/>
      </w:pPr>
      <w:r>
        <w:rPr>
          <w:noProof/>
          <w:lang w:val="en-US" w:eastAsia="nl-NL"/>
        </w:rPr>
        <w:drawing>
          <wp:inline distT="0" distB="0" distL="0" distR="0">
            <wp:extent cx="5259524" cy="4079313"/>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259524" cy="4079313"/>
                    </a:xfrm>
                    <a:prstGeom prst="rect">
                      <a:avLst/>
                    </a:prstGeom>
                    <a:noFill/>
                    <a:ln w="9525">
                      <a:noFill/>
                      <a:miter lim="800000"/>
                      <a:headEnd/>
                      <a:tailEnd/>
                    </a:ln>
                  </pic:spPr>
                </pic:pic>
              </a:graphicData>
            </a:graphic>
          </wp:inline>
        </w:drawing>
      </w:r>
    </w:p>
    <w:p w:rsidR="00683684" w:rsidRPr="006A3FCB" w:rsidRDefault="00683684" w:rsidP="00683684">
      <w:pPr>
        <w:jc w:val="both"/>
        <w:rPr>
          <w:b/>
        </w:rPr>
      </w:pPr>
      <w:r w:rsidRPr="006A3FCB">
        <w:rPr>
          <w:b/>
        </w:rPr>
        <w:t xml:space="preserve">Figuur </w:t>
      </w:r>
      <w:r w:rsidR="00552078">
        <w:rPr>
          <w:b/>
        </w:rPr>
        <w:t>D</w:t>
      </w:r>
      <w:r w:rsidRPr="006A3FCB">
        <w:rPr>
          <w:b/>
        </w:rPr>
        <w:t>1, Schets van het (toekomstige) stelsel van basisregistraties</w:t>
      </w:r>
    </w:p>
    <w:p w:rsidR="00683684" w:rsidRDefault="00683684" w:rsidP="00683684">
      <w:pPr>
        <w:jc w:val="both"/>
      </w:pPr>
      <w:r>
        <w:t>Basisregistraties moeten zorgen voor een betere dienstverlening van overheden en een admini</w:t>
      </w:r>
      <w:r w:rsidR="00EB153B">
        <w:softHyphen/>
      </w:r>
      <w:r>
        <w:t>stra</w:t>
      </w:r>
      <w:r w:rsidR="00EB153B">
        <w:softHyphen/>
      </w:r>
      <w:r>
        <w:t>tieve lastenverlichting voor burgers en bedrijven. Door de hoge kwaliteit kan de gehele overheid deze gegevens zonder verder onderzoek in haar werk gebruiken. Organisaties met publiek</w:t>
      </w:r>
      <w:r>
        <w:softHyphen/>
        <w:t xml:space="preserve">rechtelijke </w:t>
      </w:r>
      <w:r>
        <w:lastRenderedPageBreak/>
        <w:t>taken beschikken hiermee altijd over juiste en actu</w:t>
      </w:r>
      <w:r>
        <w:softHyphen/>
        <w:t>ele gegevens en hoeven geen eigen bestanden meer bij te houden op het terrein van de basisregistraties.</w:t>
      </w:r>
    </w:p>
    <w:p w:rsidR="00683684" w:rsidRPr="002F1E29" w:rsidRDefault="00683684" w:rsidP="002F1E29">
      <w:pPr>
        <w:pStyle w:val="Kop2"/>
      </w:pPr>
      <w:bookmarkStart w:id="189" w:name="_Toc161406710"/>
      <w:r w:rsidRPr="002F1E29">
        <w:t>De rol van gemeenten bij de basisregistraties</w:t>
      </w:r>
      <w:bookmarkEnd w:id="189"/>
    </w:p>
    <w:p w:rsidR="00683684" w:rsidRDefault="00683684" w:rsidP="00683684">
      <w:pPr>
        <w:jc w:val="both"/>
      </w:pPr>
      <w:r>
        <w:t>Alle nederlandse gemeenten zijn wettelijk verplicht als bronhouder van een aantal van deze regis</w:t>
      </w:r>
      <w:r>
        <w:softHyphen/>
        <w:t>tra</w:t>
      </w:r>
      <w:r>
        <w:softHyphen/>
        <w:t>ties de authentieke gegevens te verzamelen, in brondocumenten vast te leggen en in de registratie op te nemen. Zij zijn bronhouder van de BAG, de GBA, de WOZ (basisregistratie Waarde Onroerende Zaken) en een deel van de BGT (Basisregistratie Grootschalige Topografie). Als eigenaar en aanbieder van de gege</w:t>
      </w:r>
      <w:r>
        <w:softHyphen/>
        <w:t>vens zijn zij verant</w:t>
      </w:r>
      <w:r>
        <w:softHyphen/>
        <w:t>woor</w:t>
      </w:r>
      <w:r>
        <w:softHyphen/>
        <w:t xml:space="preserve">delijk voor de kwaliteit. </w:t>
      </w:r>
    </w:p>
    <w:p w:rsidR="00683684" w:rsidRDefault="00683684" w:rsidP="00683684">
      <w:pPr>
        <w:jc w:val="both"/>
      </w:pPr>
      <w:r>
        <w:t>Gemeenten zijn verplicht de basis</w:t>
      </w:r>
      <w:r>
        <w:softHyphen/>
        <w:t>regis</w:t>
      </w:r>
      <w:r>
        <w:softHyphen/>
        <w:t>tra</w:t>
      </w:r>
      <w:r>
        <w:softHyphen/>
        <w:t>ties voor hun publieke taken te gebruiken: zowel de eigen BAG, GBA, WOZ en BGT als de andere basisregistraties van het stelsel. Dit heeft gevolgen voor de totale gegevenshuishouding van de gemeente. Het beheer van de lokale basisregistraties is binnengemeentelijk vaak ondergebracht bij verschillende afdelingen. Een wijziging in de ene registratie kan gevolgen hebben voor de andere registraties, zoals de volgende situatie aangeeft: als van een pand in de BAG de sloop wordt geregistreerd, zal er vanuit de BAG een melding naar de GBA moeten worden gegeven. Daar moet immers gecontroleerd worden of er nog bewoners staan inge</w:t>
      </w:r>
      <w:r>
        <w:softHyphen/>
        <w:t>schre</w:t>
      </w:r>
      <w:r>
        <w:softHyphen/>
        <w:t xml:space="preserve">ven op de adressen van de verblijfsobjecten binnen het pand. </w:t>
      </w:r>
    </w:p>
    <w:p w:rsidR="00683684" w:rsidRPr="007B64AB" w:rsidRDefault="00683684" w:rsidP="00683684">
      <w:pPr>
        <w:jc w:val="both"/>
        <w:rPr>
          <w:sz w:val="28"/>
        </w:rPr>
      </w:pPr>
      <w:r>
        <w:t>Bij h</w:t>
      </w:r>
      <w:r w:rsidRPr="007B64AB">
        <w:t>et inrichten van de gemeentelijke basisregistra</w:t>
      </w:r>
      <w:r w:rsidRPr="007B64AB">
        <w:softHyphen/>
        <w:t xml:space="preserve">ties </w:t>
      </w:r>
      <w:r>
        <w:t>is het dus van belang om de totale gegevenshuishouding onder de loep te nemen.</w:t>
      </w:r>
      <w:r w:rsidRPr="007B64AB">
        <w:t xml:space="preserve"> Dit biedt kansen om met </w:t>
      </w:r>
      <w:r>
        <w:t>de aan</w:t>
      </w:r>
      <w:r>
        <w:softHyphen/>
        <w:t xml:space="preserve">passing van de procesgang </w:t>
      </w:r>
      <w:r w:rsidRPr="007B64AB">
        <w:t>het werk beter en effi</w:t>
      </w:r>
      <w:r w:rsidRPr="007B64AB">
        <w:softHyphen/>
        <w:t>ciën</w:t>
      </w:r>
      <w:r w:rsidRPr="007B64AB">
        <w:softHyphen/>
        <w:t>ter uit te voeren.</w:t>
      </w:r>
    </w:p>
    <w:p w:rsidR="00683684" w:rsidRDefault="00AC7526" w:rsidP="00683684">
      <w:pPr>
        <w:jc w:val="both"/>
        <w:rPr>
          <w:sz w:val="28"/>
        </w:rPr>
      </w:pPr>
      <w:r>
        <w:rPr>
          <w:noProof/>
          <w:sz w:val="28"/>
          <w:lang w:val="en-US" w:eastAsia="nl-NL"/>
        </w:rPr>
        <mc:AlternateContent>
          <mc:Choice Requires="wps">
            <w:drawing>
              <wp:anchor distT="0" distB="0" distL="114300" distR="114300" simplePos="0" relativeHeight="251667456" behindDoc="0" locked="0" layoutInCell="1" allowOverlap="1">
                <wp:simplePos x="0" y="0"/>
                <wp:positionH relativeFrom="page">
                  <wp:posOffset>1388745</wp:posOffset>
                </wp:positionH>
                <wp:positionV relativeFrom="margin">
                  <wp:posOffset>4572000</wp:posOffset>
                </wp:positionV>
                <wp:extent cx="4808220" cy="680720"/>
                <wp:effectExtent l="169545" t="165100" r="114935" b="119380"/>
                <wp:wrapTight wrapText="bothSides">
                  <wp:wrapPolygon edited="0">
                    <wp:start x="-300" y="-2096"/>
                    <wp:lineTo x="-471" y="-1773"/>
                    <wp:lineTo x="-642" y="-645"/>
                    <wp:lineTo x="-642" y="18537"/>
                    <wp:lineTo x="-556" y="20955"/>
                    <wp:lineTo x="-342" y="21439"/>
                    <wp:lineTo x="-300" y="21439"/>
                    <wp:lineTo x="21643" y="21439"/>
                    <wp:lineTo x="21643" y="-645"/>
                    <wp:lineTo x="21472" y="-1773"/>
                    <wp:lineTo x="21258" y="-2096"/>
                    <wp:lineTo x="-300" y="-2096"/>
                  </wp:wrapPolygon>
                </wp:wrapTight>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8220" cy="680720"/>
                        </a:xfrm>
                        <a:prstGeom prst="roundRect">
                          <a:avLst>
                            <a:gd name="adj" fmla="val 3880"/>
                          </a:avLst>
                        </a:prstGeom>
                        <a:solidFill>
                          <a:srgbClr val="FFFFFF"/>
                        </a:solidFill>
                        <a:ln w="9525">
                          <a:solidFill>
                            <a:srgbClr val="00B0F0"/>
                          </a:solidFill>
                          <a:round/>
                          <a:headEnd/>
                          <a:tailEnd/>
                        </a:ln>
                        <a:effectLst>
                          <a:outerShdw blurRad="63500" dist="107763" dir="13500000" algn="ctr" rotWithShape="0">
                            <a:schemeClr val="accent1">
                              <a:lumMod val="100000"/>
                              <a:lumOff val="0"/>
                              <a:alpha val="50000"/>
                            </a:schemeClr>
                          </a:outerShdw>
                        </a:effectLst>
                      </wps:spPr>
                      <wps:txbx id="2">
                        <w:txbxContent>
                          <w:p w:rsidR="008F29F9" w:rsidRDefault="008F29F9" w:rsidP="00683684">
                            <w:pPr>
                              <w:jc w:val="both"/>
                              <w:rPr>
                                <w:i/>
                                <w:iCs/>
                                <w:color w:val="7F7F7F" w:themeColor="background1" w:themeShade="7F"/>
                              </w:rPr>
                            </w:pPr>
                            <w:r>
                              <w:rPr>
                                <w:i/>
                              </w:rPr>
                              <w:t>Het aanpassen van de procesinrichting aan de basisregistraties is vooral een zaak van goed en slim organiseren van de interne samenwerking</w:t>
                            </w:r>
                            <w:r w:rsidRPr="000A44B0">
                              <w:rPr>
                                <w:i/>
                              </w:rPr>
                              <w:t>.</w:t>
                            </w:r>
                          </w:p>
                        </w:txbxContent>
                      </wps:txbx>
                      <wps:bodyPr rot="0" vert="horz" wrap="square" lIns="108000" tIns="45720" rIns="108000" bIns="46800" anchor="t" anchorCtr="0" upright="1">
                        <a:noAutofit/>
                      </wps:bodyPr>
                    </wps:wsp>
                  </a:graphicData>
                </a:graphic>
                <wp14:sizeRelH relativeFrom="margin">
                  <wp14:pctWidth>0</wp14:pctWidth>
                </wp14:sizeRelH>
                <wp14:sizeRelV relativeFrom="page">
                  <wp14:pctHeight>0</wp14:pctHeight>
                </wp14:sizeRelV>
              </wp:anchor>
            </w:drawing>
          </mc:Choice>
          <mc:Fallback>
            <w:pict>
              <v:roundrect id="AutoShape 7" o:spid="_x0000_s1027" style="position:absolute;left:0;text-align:left;margin-left:109.35pt;margin-top:5in;width:378.6pt;height:53.6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254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" strokecolor="#00b0f0">
                <v:shadow on="t" color="#4f81bd [3204]" opacity=".5" offset="-6pt,-6pt"/>
                <v:textbox style="mso-next-textbox:#Text Box 8" inset="3mm,,3mm,1.3mm">
                  <w:txbxContent>
                    <w:p w:rsidR="008F29F9" w:rsidRDefault="008F29F9" w:rsidP="00683684">
                      <w:pPr>
                        <w:jc w:val="both"/>
                        <w:rPr>
                          <w:i/>
                          <w:iCs/>
                          <w:color w:val="7F7F7F" w:themeColor="background1" w:themeShade="7F"/>
                        </w:rPr>
                      </w:pPr>
                      <w:r>
                        <w:rPr>
                          <w:i/>
                        </w:rPr>
                        <w:t>Het aanpassen van de procesinrichting aan de basisregistraties is vooral een zaak van goed en slim organiseren van de interne samenwerking</w:t>
                      </w:r>
                      <w:r w:rsidRPr="000A44B0">
                        <w:rPr>
                          <w:i/>
                        </w:rPr>
                        <w:t>.</w:t>
                      </w:r>
                    </w:p>
                  </w:txbxContent>
                </v:textbox>
                <w10:wrap type="tight" anchorx="page" anchory="margin"/>
              </v:roundrect>
            </w:pict>
          </mc:Fallback>
        </mc:AlternateContent>
      </w:r>
    </w:p>
    <w:p w:rsidR="00683684" w:rsidRDefault="00683684" w:rsidP="00683684">
      <w:pPr>
        <w:jc w:val="both"/>
        <w:rPr>
          <w:sz w:val="28"/>
        </w:rPr>
      </w:pPr>
    </w:p>
    <w:p w:rsidR="00683684" w:rsidRDefault="00683684" w:rsidP="00683684">
      <w:pPr>
        <w:jc w:val="both"/>
        <w:rPr>
          <w:sz w:val="28"/>
        </w:rPr>
      </w:pPr>
    </w:p>
    <w:p w:rsidR="00683684" w:rsidRDefault="00683684" w:rsidP="00683684">
      <w:pPr>
        <w:jc w:val="both"/>
        <w:rPr>
          <w:sz w:val="28"/>
        </w:rPr>
      </w:pPr>
    </w:p>
    <w:p w:rsidR="00683684" w:rsidRDefault="00AC7526" w:rsidP="00683684">
      <w:pPr>
        <w:jc w:val="both"/>
        <w:rPr>
          <w:sz w:val="28"/>
        </w:rPr>
      </w:pPr>
      <w:r>
        <w:rPr>
          <w:noProof/>
          <w:sz w:val="28"/>
          <w:lang w:val="en-US" w:eastAsia="nl-NL"/>
        </w:rPr>
        <mc:AlternateContent>
          <mc:Choice Requires="wps">
            <w:drawing>
              <wp:anchor distT="0" distB="0" distL="114300" distR="114300" simplePos="0" relativeHeight="251669504" behindDoc="0" locked="0" layoutInCell="1" allowOverlap="1">
                <wp:simplePos x="0" y="0"/>
                <wp:positionH relativeFrom="column">
                  <wp:posOffset>5486400</wp:posOffset>
                </wp:positionH>
                <wp:positionV relativeFrom="paragraph">
                  <wp:posOffset>196215</wp:posOffset>
                </wp:positionV>
                <wp:extent cx="228600" cy="228600"/>
                <wp:effectExtent l="0" t="5715" r="0" b="0"/>
                <wp:wrapTight wrapText="bothSides">
                  <wp:wrapPolygon edited="0">
                    <wp:start x="0" y="0"/>
                    <wp:lineTo x="21600" y="0"/>
                    <wp:lineTo x="21600" y="21600"/>
                    <wp:lineTo x="0" y="21600"/>
                    <wp:lineTo x="0" y="0"/>
                  </wp:wrapPolygon>
                </wp:wrapTight>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6in;margin-top:15.45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" filled="f" stroked="f">
                <v:textbox inset=",7.2pt,,7.2pt">
                  <w:txbxContent/>
                </v:textbox>
                <w10:wrap type="tight"/>
              </v:shape>
            </w:pict>
          </mc:Fallback>
        </mc:AlternateContent>
      </w:r>
      <w:r>
        <w:rPr>
          <w:noProof/>
          <w:sz w:val="28"/>
          <w:lang w:val="en-US" w:eastAsia="nl-NL"/>
        </w:rPr>
        <mc:AlternateContent>
          <mc:Choice Requires="wps">
            <w:drawing>
              <wp:anchor distT="0" distB="0" distL="114300" distR="114300" simplePos="0" relativeHeight="251668480" behindDoc="0" locked="0" layoutInCell="1" allowOverlap="1">
                <wp:simplePos x="0" y="0"/>
                <wp:positionH relativeFrom="column">
                  <wp:posOffset>5257800</wp:posOffset>
                </wp:positionH>
                <wp:positionV relativeFrom="paragraph">
                  <wp:posOffset>196215</wp:posOffset>
                </wp:positionV>
                <wp:extent cx="228600" cy="228600"/>
                <wp:effectExtent l="0" t="5715" r="0" b="0"/>
                <wp:wrapTight wrapText="bothSides">
                  <wp:wrapPolygon edited="0">
                    <wp:start x="0" y="0"/>
                    <wp:lineTo x="21600" y="0"/>
                    <wp:lineTo x="21600" y="21600"/>
                    <wp:lineTo x="0" y="21600"/>
                    <wp:lineTo x="0" y="0"/>
                  </wp:wrapPolygon>
                </wp:wrapTight>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4pt;margin-top:15.45pt;width:18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" filled="f" stroked="f">
                <v:textbox style="mso-next-textbox:#Text Box 9" inset=",7.2pt,,7.2pt">
                  <w:txbxContent/>
                </v:textbox>
                <w10:wrap type="tight"/>
              </v:shape>
            </w:pict>
          </mc:Fallback>
        </mc:AlternateContent>
      </w:r>
    </w:p>
    <w:p w:rsidR="00683684" w:rsidRDefault="00683684" w:rsidP="00683684">
      <w:pPr>
        <w:jc w:val="both"/>
        <w:rPr>
          <w:sz w:val="28"/>
        </w:rPr>
      </w:pPr>
    </w:p>
    <w:p w:rsidR="00683684" w:rsidRDefault="00683684" w:rsidP="00683684">
      <w:pPr>
        <w:jc w:val="both"/>
        <w:rPr>
          <w:sz w:val="28"/>
        </w:rPr>
      </w:pPr>
    </w:p>
    <w:p w:rsidR="00683684" w:rsidRPr="002F1E29" w:rsidRDefault="00683684" w:rsidP="002F1E29">
      <w:pPr>
        <w:pStyle w:val="Kop2"/>
      </w:pPr>
      <w:r>
        <w:rPr>
          <w:sz w:val="28"/>
        </w:rPr>
        <w:br w:type="page"/>
      </w:r>
      <w:bookmarkStart w:id="190" w:name="_Toc161406711"/>
      <w:r w:rsidRPr="002F1E29">
        <w:lastRenderedPageBreak/>
        <w:t>Gemeentelijke en landelijke basisregistraties</w:t>
      </w:r>
      <w:bookmarkEnd w:id="190"/>
    </w:p>
    <w:p w:rsidR="00683684" w:rsidRDefault="00683684" w:rsidP="00683684">
      <w:pPr>
        <w:jc w:val="both"/>
      </w:pPr>
      <w:r>
        <w:t>Om te voorkomen dat (landelijke) af</w:t>
      </w:r>
      <w:r>
        <w:softHyphen/>
        <w:t>nemers hun gegevens moeten verzamelen bij vele honderden gemeen</w:t>
      </w:r>
      <w:r>
        <w:softHyphen/>
        <w:t>ten zijn er landelijke voorzieningen ingericht, zoals de BAGLV, de GBA-V en de (toekomstige) LV WOZ. Vanuit de lokale basisregistraties worden de lande</w:t>
      </w:r>
      <w:r>
        <w:softHyphen/>
        <w:t>lijke voor</w:t>
      </w:r>
      <w:r>
        <w:softHyphen/>
        <w:t>zie</w:t>
      </w:r>
      <w:r>
        <w:softHyphen/>
        <w:t>nin</w:t>
      </w:r>
      <w:r>
        <w:softHyphen/>
        <w:t>gen ge</w:t>
      </w:r>
      <w:r>
        <w:softHyphen/>
        <w:t>syn</w:t>
      </w:r>
      <w:r>
        <w:softHyphen/>
      </w:r>
      <w:r>
        <w:softHyphen/>
        <w:t>chroniseerd:</w:t>
      </w:r>
    </w:p>
    <w:p w:rsidR="00683684" w:rsidRDefault="00683684" w:rsidP="00683684">
      <w:pPr>
        <w:jc w:val="both"/>
      </w:pPr>
    </w:p>
    <w:p w:rsidR="00683684" w:rsidRDefault="00683684" w:rsidP="00683684">
      <w:pPr>
        <w:ind w:left="2124"/>
        <w:jc w:val="both"/>
      </w:pPr>
      <w:r>
        <w:rPr>
          <w:noProof/>
          <w:lang w:val="en-US" w:eastAsia="nl-NL"/>
        </w:rPr>
        <w:drawing>
          <wp:inline distT="0" distB="0" distL="0" distR="0">
            <wp:extent cx="2237105" cy="4686300"/>
            <wp:effectExtent l="25400" t="0" r="0" b="0"/>
            <wp:docPr id="9"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2237105" cy="4686300"/>
                    </a:xfrm>
                    <a:prstGeom prst="rect">
                      <a:avLst/>
                    </a:prstGeom>
                    <a:noFill/>
                    <a:ln w="9525">
                      <a:noFill/>
                      <a:miter lim="800000"/>
                      <a:headEnd/>
                      <a:tailEnd/>
                    </a:ln>
                  </pic:spPr>
                </pic:pic>
              </a:graphicData>
            </a:graphic>
          </wp:inline>
        </w:drawing>
      </w:r>
    </w:p>
    <w:p w:rsidR="00683684" w:rsidRPr="006A3FCB" w:rsidRDefault="00683684" w:rsidP="00683684">
      <w:pPr>
        <w:jc w:val="both"/>
        <w:rPr>
          <w:b/>
        </w:rPr>
      </w:pPr>
      <w:r w:rsidRPr="006A3FCB">
        <w:rPr>
          <w:b/>
        </w:rPr>
        <w:t xml:space="preserve">Figuur </w:t>
      </w:r>
      <w:r w:rsidR="00552078">
        <w:rPr>
          <w:b/>
        </w:rPr>
        <w:t>D</w:t>
      </w:r>
      <w:r w:rsidRPr="006A3FCB">
        <w:rPr>
          <w:b/>
        </w:rPr>
        <w:t>2, Plaats van de BAG, GBA, WOZ en BGT in de gegevenshuishouding</w:t>
      </w:r>
    </w:p>
    <w:p w:rsidR="00683684" w:rsidRDefault="00683684" w:rsidP="00683684">
      <w:pPr>
        <w:jc w:val="both"/>
      </w:pPr>
      <w:r>
        <w:t>Gemeenten maken – voor het binnengemeentelijk gebruik van de gegevens – gebruik van de lokale basisregistraties. Voor een aantal registraties (waaronder de BAG) is het wettelijk mogelijk gemaakt om aan de gebruiksplicht te vol</w:t>
      </w:r>
      <w:r>
        <w:softHyphen/>
        <w:t>doen door, naar keuze, de eigen gemeentelijke basisregistratie te gebruiken of de landelijke voorziening.</w:t>
      </w:r>
      <w:r w:rsidRPr="00374DBC">
        <w:t xml:space="preserve"> </w:t>
      </w:r>
      <w:r>
        <w:t xml:space="preserve">Voor een gemeente biedt dit de mogelijkheid binnen de wettelijke kaders zelf te bepalen </w:t>
      </w:r>
      <w:r w:rsidRPr="000D6298">
        <w:rPr>
          <w:i/>
        </w:rPr>
        <w:t>hoe</w:t>
      </w:r>
      <w:r>
        <w:t xml:space="preserve"> het verplicht gebruik optimaal kan worden ingericht.</w:t>
      </w:r>
    </w:p>
    <w:p w:rsidR="00683684" w:rsidRDefault="00683684" w:rsidP="00683684">
      <w:pPr>
        <w:jc w:val="both"/>
      </w:pPr>
    </w:p>
    <w:p w:rsidR="00683684" w:rsidRDefault="00683684" w:rsidP="00054ED3">
      <w:pPr>
        <w:pStyle w:val="Kop1"/>
      </w:pPr>
      <w:r>
        <w:br w:type="page"/>
      </w:r>
      <w:bookmarkStart w:id="191" w:name="_Toc161406712"/>
      <w:r w:rsidRPr="00133700">
        <w:lastRenderedPageBreak/>
        <w:t xml:space="preserve">Bijlage </w:t>
      </w:r>
      <w:r>
        <w:t>E</w:t>
      </w:r>
      <w:r w:rsidRPr="00133700">
        <w:t>, Documentatie</w:t>
      </w:r>
      <w:bookmarkEnd w:id="191"/>
    </w:p>
    <w:p w:rsidR="00BD3999" w:rsidRDefault="00BD3999" w:rsidP="00683684">
      <w:pPr>
        <w:jc w:val="both"/>
      </w:pPr>
      <w:r>
        <w:t>De volgende documentatie geeft achtergrondinformatie en is gebruikt bij het samenstellen van deze handreiking.</w:t>
      </w:r>
    </w:p>
    <w:p w:rsidR="00683684" w:rsidRPr="00BD3999" w:rsidRDefault="00BD3999" w:rsidP="00683684">
      <w:pPr>
        <w:jc w:val="both"/>
        <w:rPr>
          <w:b/>
        </w:rPr>
      </w:pPr>
      <w:r>
        <w:rPr>
          <w:b/>
        </w:rPr>
        <w:t xml:space="preserve">Het </w:t>
      </w:r>
      <w:r w:rsidRPr="00BD3999">
        <w:rPr>
          <w:b/>
        </w:rPr>
        <w:t>Stelsel van Basisregistraties</w:t>
      </w:r>
    </w:p>
    <w:p w:rsidR="00BD3999" w:rsidRDefault="00BD3999" w:rsidP="00BD3999">
      <w:pPr>
        <w:pStyle w:val="Lijstalinea"/>
        <w:numPr>
          <w:ilvl w:val="0"/>
          <w:numId w:val="2"/>
        </w:numPr>
        <w:rPr>
          <w:sz w:val="22"/>
        </w:rPr>
      </w:pPr>
      <w:r>
        <w:rPr>
          <w:sz w:val="22"/>
        </w:rPr>
        <w:t xml:space="preserve">Stelselhandboek: zie </w:t>
      </w:r>
      <w:hyperlink r:id="rId20" w:history="1">
        <w:r w:rsidRPr="008767B0">
          <w:rPr>
            <w:sz w:val="22"/>
          </w:rPr>
          <w:t>www.stelselhandboek.nl</w:t>
        </w:r>
      </w:hyperlink>
      <w:r>
        <w:rPr>
          <w:sz w:val="22"/>
        </w:rPr>
        <w:t xml:space="preserve"> .</w:t>
      </w:r>
    </w:p>
    <w:p w:rsidR="00BD3999" w:rsidRDefault="00BD3999" w:rsidP="00BD3999"/>
    <w:p w:rsidR="00BD3999" w:rsidRPr="00BD3999" w:rsidRDefault="00BD3999" w:rsidP="00BD3999">
      <w:pPr>
        <w:rPr>
          <w:b/>
        </w:rPr>
      </w:pPr>
      <w:r w:rsidRPr="00BD3999">
        <w:rPr>
          <w:b/>
        </w:rPr>
        <w:t>Basisregistraties Adressen en Gebouwen</w:t>
      </w:r>
    </w:p>
    <w:p w:rsidR="00BD3999" w:rsidRPr="00520FC0" w:rsidRDefault="00BD3999" w:rsidP="00BD3999">
      <w:pPr>
        <w:pStyle w:val="Lijstalinea"/>
        <w:numPr>
          <w:ilvl w:val="0"/>
          <w:numId w:val="2"/>
        </w:numPr>
        <w:rPr>
          <w:sz w:val="22"/>
        </w:rPr>
      </w:pPr>
      <w:r w:rsidRPr="00520FC0">
        <w:rPr>
          <w:sz w:val="22"/>
        </w:rPr>
        <w:t>VROM BAG Proces</w:t>
      </w:r>
      <w:r w:rsidRPr="00520FC0">
        <w:rPr>
          <w:sz w:val="22"/>
        </w:rPr>
        <w:softHyphen/>
        <w:t>sen</w:t>
      </w:r>
      <w:r w:rsidRPr="00520FC0">
        <w:rPr>
          <w:sz w:val="22"/>
        </w:rPr>
        <w:softHyphen/>
        <w:t>hand</w:t>
      </w:r>
      <w:r w:rsidRPr="00520FC0">
        <w:rPr>
          <w:sz w:val="22"/>
        </w:rPr>
        <w:softHyphen/>
        <w:t>boek v1.1 (juni 2007).</w:t>
      </w:r>
    </w:p>
    <w:p w:rsidR="008767B0" w:rsidRPr="008767B0" w:rsidRDefault="008767B0" w:rsidP="008767B0">
      <w:pPr>
        <w:pStyle w:val="Lijstalinea"/>
        <w:numPr>
          <w:ilvl w:val="0"/>
          <w:numId w:val="2"/>
        </w:numPr>
        <w:rPr>
          <w:sz w:val="22"/>
        </w:rPr>
      </w:pPr>
      <w:r w:rsidRPr="008767B0">
        <w:rPr>
          <w:sz w:val="22"/>
        </w:rPr>
        <w:t>Catalogus basisregistraties adressen en gebouwen (versie 2009, VROM).</w:t>
      </w:r>
    </w:p>
    <w:p w:rsidR="008767B0" w:rsidRDefault="00BD3999" w:rsidP="00BD3999">
      <w:pPr>
        <w:pStyle w:val="Lijstalinea"/>
        <w:numPr>
          <w:ilvl w:val="0"/>
          <w:numId w:val="2"/>
        </w:numPr>
        <w:rPr>
          <w:sz w:val="22"/>
        </w:rPr>
      </w:pPr>
      <w:r w:rsidRPr="00520FC0">
        <w:rPr>
          <w:sz w:val="22"/>
        </w:rPr>
        <w:t>Processenhandboek basisregistraties adressen en gebouwen, versie 2009, juli 2009 (VROM).</w:t>
      </w:r>
    </w:p>
    <w:p w:rsidR="00BD3999" w:rsidRDefault="00BD3999" w:rsidP="00BD3999"/>
    <w:p w:rsidR="00BD3999" w:rsidRPr="00BD3999" w:rsidRDefault="00BD3999" w:rsidP="00BD3999">
      <w:pPr>
        <w:rPr>
          <w:b/>
        </w:rPr>
      </w:pPr>
      <w:r w:rsidRPr="00BD3999">
        <w:rPr>
          <w:b/>
        </w:rPr>
        <w:t>De samenhang van de BAG en de GBA</w:t>
      </w:r>
    </w:p>
    <w:p w:rsidR="00BD3999" w:rsidRPr="008767B0" w:rsidRDefault="00BD3999" w:rsidP="00BD3999">
      <w:pPr>
        <w:pStyle w:val="Lijstalinea"/>
        <w:numPr>
          <w:ilvl w:val="0"/>
          <w:numId w:val="2"/>
        </w:numPr>
        <w:rPr>
          <w:sz w:val="22"/>
        </w:rPr>
      </w:pPr>
      <w:r w:rsidRPr="008767B0">
        <w:rPr>
          <w:sz w:val="22"/>
        </w:rPr>
        <w:t>De relatie tussen de BAG en de Basisregistratie Personen (informatieblad April 2009, project BAG en agentschap BPR).</w:t>
      </w:r>
    </w:p>
    <w:p w:rsidR="00BD3999" w:rsidRDefault="00683684" w:rsidP="00BD3999">
      <w:pPr>
        <w:pStyle w:val="Lijstalinea"/>
        <w:numPr>
          <w:ilvl w:val="0"/>
          <w:numId w:val="2"/>
        </w:numPr>
        <w:rPr>
          <w:sz w:val="22"/>
        </w:rPr>
      </w:pPr>
      <w:r w:rsidRPr="00520FC0">
        <w:rPr>
          <w:sz w:val="22"/>
        </w:rPr>
        <w:t>Samenhang BAG en GBA, versie 1.1, 20 augustus 2009.</w:t>
      </w:r>
    </w:p>
    <w:p w:rsidR="00683684" w:rsidRPr="00520FC0" w:rsidRDefault="00683684" w:rsidP="00BD3999">
      <w:pPr>
        <w:pStyle w:val="Lijstalinea"/>
        <w:numPr>
          <w:ilvl w:val="0"/>
          <w:numId w:val="2"/>
        </w:numPr>
        <w:rPr>
          <w:sz w:val="22"/>
        </w:rPr>
      </w:pPr>
      <w:r w:rsidRPr="00520FC0">
        <w:rPr>
          <w:sz w:val="22"/>
        </w:rPr>
        <w:t>Logisch Ontwerp GBA versie 3.7.</w:t>
      </w:r>
    </w:p>
    <w:p w:rsidR="00683684" w:rsidRPr="00520FC0" w:rsidRDefault="00683684" w:rsidP="00BD3999">
      <w:pPr>
        <w:pStyle w:val="Lijstalinea"/>
        <w:numPr>
          <w:ilvl w:val="0"/>
          <w:numId w:val="2"/>
        </w:numPr>
        <w:rPr>
          <w:sz w:val="22"/>
        </w:rPr>
      </w:pPr>
      <w:r w:rsidRPr="00520FC0">
        <w:rPr>
          <w:sz w:val="22"/>
        </w:rPr>
        <w:t>Stappenplan koppeling BAG en GBA, november 2010.</w:t>
      </w:r>
    </w:p>
    <w:p w:rsidR="00683684" w:rsidRPr="00520FC0" w:rsidRDefault="00683684" w:rsidP="00BD3999">
      <w:pPr>
        <w:pStyle w:val="Lijstalinea"/>
        <w:numPr>
          <w:ilvl w:val="0"/>
          <w:numId w:val="2"/>
        </w:numPr>
        <w:rPr>
          <w:sz w:val="22"/>
        </w:rPr>
      </w:pPr>
      <w:r w:rsidRPr="00520FC0">
        <w:rPr>
          <w:sz w:val="22"/>
        </w:rPr>
        <w:t>BAG GBA Koppelvlak beschrijving v1.2.doc (14 oktober 2009).</w:t>
      </w:r>
    </w:p>
    <w:p w:rsidR="00BD3999" w:rsidRDefault="00BD3999" w:rsidP="00683684"/>
    <w:p w:rsidR="00683684" w:rsidRPr="00BD3999" w:rsidRDefault="00BD3999" w:rsidP="00683684">
      <w:pPr>
        <w:rPr>
          <w:b/>
        </w:rPr>
      </w:pPr>
      <w:r w:rsidRPr="00BD3999">
        <w:rPr>
          <w:b/>
        </w:rPr>
        <w:t>GEMMA proces- en informatiearchitectuur</w:t>
      </w:r>
    </w:p>
    <w:p w:rsidR="00683684" w:rsidRPr="00520FC0" w:rsidRDefault="00683684" w:rsidP="00BD3999">
      <w:pPr>
        <w:pStyle w:val="Lijstalinea"/>
        <w:numPr>
          <w:ilvl w:val="0"/>
          <w:numId w:val="2"/>
        </w:numPr>
        <w:rPr>
          <w:sz w:val="22"/>
        </w:rPr>
      </w:pPr>
      <w:r w:rsidRPr="00520FC0">
        <w:rPr>
          <w:sz w:val="22"/>
        </w:rPr>
        <w:t>De_GEMMA_procesarchitectuur_handreiking_voor_gemeenten_def[1] KING</w:t>
      </w:r>
    </w:p>
    <w:p w:rsidR="00683684" w:rsidRPr="00520FC0" w:rsidRDefault="00683684" w:rsidP="00BD3999">
      <w:pPr>
        <w:pStyle w:val="Lijstalinea"/>
        <w:numPr>
          <w:ilvl w:val="0"/>
          <w:numId w:val="2"/>
        </w:numPr>
        <w:rPr>
          <w:sz w:val="22"/>
        </w:rPr>
      </w:pPr>
      <w:r w:rsidRPr="00520FC0">
        <w:rPr>
          <w:sz w:val="22"/>
        </w:rPr>
        <w:t>20090409 Rapport_GEMMA_PIA_TK (Thema’s en kernprincipes).</w:t>
      </w:r>
    </w:p>
    <w:p w:rsidR="00683684" w:rsidRPr="00520FC0" w:rsidRDefault="00683684" w:rsidP="00BD3999">
      <w:pPr>
        <w:pStyle w:val="Lijstalinea"/>
        <w:numPr>
          <w:ilvl w:val="0"/>
          <w:numId w:val="2"/>
        </w:numPr>
        <w:rPr>
          <w:sz w:val="22"/>
        </w:rPr>
      </w:pPr>
      <w:r w:rsidRPr="00520FC0">
        <w:rPr>
          <w:sz w:val="22"/>
        </w:rPr>
        <w:t>GEMMA_Procesarchitectuur_1.0_KING</w:t>
      </w:r>
    </w:p>
    <w:p w:rsidR="00683684" w:rsidRPr="00520FC0" w:rsidRDefault="00683684" w:rsidP="00BD3999">
      <w:pPr>
        <w:pStyle w:val="Lijstalinea"/>
        <w:numPr>
          <w:ilvl w:val="0"/>
          <w:numId w:val="2"/>
        </w:numPr>
        <w:rPr>
          <w:sz w:val="22"/>
        </w:rPr>
      </w:pPr>
      <w:r w:rsidRPr="00520FC0">
        <w:rPr>
          <w:sz w:val="22"/>
        </w:rPr>
        <w:t>00_GEMMA Informatiearchitectuur.1.0.doc KING</w:t>
      </w:r>
    </w:p>
    <w:p w:rsidR="00DB1D17" w:rsidRDefault="00DB1D17" w:rsidP="00683684"/>
    <w:p w:rsidR="00683684" w:rsidRPr="00DB1D17" w:rsidRDefault="00DB1D17" w:rsidP="00683684">
      <w:pPr>
        <w:rPr>
          <w:b/>
        </w:rPr>
      </w:pPr>
      <w:r>
        <w:rPr>
          <w:b/>
        </w:rPr>
        <w:t>Business Proces Modeling</w:t>
      </w:r>
    </w:p>
    <w:p w:rsidR="00683684" w:rsidRPr="00520FC0" w:rsidRDefault="00683684" w:rsidP="00DB1D17">
      <w:pPr>
        <w:pStyle w:val="Lijstalinea"/>
        <w:numPr>
          <w:ilvl w:val="0"/>
          <w:numId w:val="2"/>
        </w:numPr>
        <w:rPr>
          <w:sz w:val="22"/>
        </w:rPr>
      </w:pPr>
      <w:r w:rsidRPr="00520FC0">
        <w:rPr>
          <w:sz w:val="22"/>
        </w:rPr>
        <w:t xml:space="preserve">BPMN versie 1.2, 09-01-03.pdf (zie </w:t>
      </w:r>
      <w:hyperlink r:id="rId21" w:history="1">
        <w:r w:rsidRPr="00520FC0">
          <w:rPr>
            <w:sz w:val="22"/>
          </w:rPr>
          <w:t>www.BPMI.org</w:t>
        </w:r>
      </w:hyperlink>
      <w:r w:rsidRPr="00520FC0">
        <w:rPr>
          <w:sz w:val="22"/>
        </w:rPr>
        <w:t xml:space="preserve"> ).</w:t>
      </w:r>
      <w:r w:rsidRPr="00520FC0">
        <w:rPr>
          <w:sz w:val="22"/>
        </w:rPr>
        <w:tab/>
      </w:r>
    </w:p>
    <w:p w:rsidR="00443C6D" w:rsidRDefault="00443C6D" w:rsidP="00443C6D">
      <w:pPr>
        <w:rPr>
          <w:lang w:val="en-US"/>
        </w:rPr>
      </w:pPr>
    </w:p>
    <w:p w:rsidR="00443C6D" w:rsidRPr="0038425A" w:rsidRDefault="001344EE">
      <w:pPr>
        <w:rPr>
          <w:lang w:val="en-US"/>
        </w:rPr>
      </w:pPr>
      <w:r w:rsidRPr="0038425A">
        <w:rPr>
          <w:lang w:val="en-US"/>
        </w:rPr>
        <w:br w:type="page"/>
      </w:r>
    </w:p>
    <w:p w:rsidR="00443C6D" w:rsidRPr="0038425A" w:rsidRDefault="00AC7526" w:rsidP="00443C6D">
      <w:r>
        <w:rPr>
          <w:noProof/>
          <w:lang w:val="en-US" w:eastAsia="nl-NL"/>
        </w:rPr>
        <w:lastRenderedPageBreak/>
        <mc:AlternateContent>
          <mc:Choice Requires="wps">
            <w:drawing>
              <wp:anchor distT="0" distB="0" distL="114300" distR="114300" simplePos="0" relativeHeight="251665408" behindDoc="0" locked="0" layoutInCell="0" allowOverlap="1">
                <wp:simplePos x="0" y="0"/>
                <wp:positionH relativeFrom="margin">
                  <wp:posOffset>824230</wp:posOffset>
                </wp:positionH>
                <wp:positionV relativeFrom="margin">
                  <wp:posOffset>5577205</wp:posOffset>
                </wp:positionV>
                <wp:extent cx="4410075" cy="2129790"/>
                <wp:effectExtent l="11430" t="14605" r="23495" b="22860"/>
                <wp:wrapSquare wrapText="bothSides"/>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410075" cy="2129790"/>
                        </a:xfrm>
                        <a:prstGeom prst="bracketPair">
                          <a:avLst>
                            <a:gd name="adj" fmla="val 8051"/>
                          </a:avLst>
                        </a:prstGeom>
                        <a:noFill/>
                        <a:ln w="38100">
                          <a:solidFill>
                            <a:srgbClr val="CC0068"/>
                          </a:solidFill>
                          <a:round/>
                          <a:headEnd/>
                          <a:tailEnd/>
                        </a:ln>
                        <a:effectLst/>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blurRad="63500" dist="17961" dir="2700000" algn="ctr" rotWithShape="0">
                                  <a:srgbClr val="CC0068">
                                    <a:gamma/>
                                    <a:shade val="60000"/>
                                    <a:invGamma/>
                                    <a:alpha val="74998"/>
                                  </a:srgbClr>
                                </a:outerShdw>
                              </a:effectLst>
                            </a14:hiddenEffects>
                          </a:ext>
                        </a:extLst>
                      </wps:spPr>
                      <wps:txbx>
                        <w:txbxContent>
                          <w:p w:rsidR="008F29F9" w:rsidRDefault="008F29F9" w:rsidP="00443C6D">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8F29F9" w:rsidRPr="00D80B5A">
                              <w:tc>
                                <w:tcPr>
                                  <w:tcW w:w="1800" w:type="dxa"/>
                                </w:tcPr>
                                <w:p w:rsidR="008F29F9" w:rsidRPr="00564D1E" w:rsidRDefault="008F29F9" w:rsidP="00443C6D">
                                  <w:pPr>
                                    <w:spacing w:line="270" w:lineRule="atLeast"/>
                                    <w:rPr>
                                      <w:color w:val="000000"/>
                                      <w:sz w:val="20"/>
                                      <w:szCs w:val="20"/>
                                    </w:rPr>
                                  </w:pPr>
                                  <w:r w:rsidRPr="00564D1E">
                                    <w:rPr>
                                      <w:color w:val="000000"/>
                                      <w:sz w:val="20"/>
                                      <w:szCs w:val="20"/>
                                    </w:rPr>
                                    <w:t>Bezoekadres:</w:t>
                                  </w:r>
                                  <w:r w:rsidRPr="00564D1E">
                                    <w:rPr>
                                      <w:color w:val="000000"/>
                                      <w:sz w:val="20"/>
                                      <w:szCs w:val="20"/>
                                    </w:rPr>
                                    <w:br/>
                                    <w:t>Nassaulaan 12</w:t>
                                  </w:r>
                                  <w:r w:rsidRPr="00564D1E">
                                    <w:rPr>
                                      <w:color w:val="000000"/>
                                      <w:sz w:val="20"/>
                                      <w:szCs w:val="20"/>
                                    </w:rPr>
                                    <w:br/>
                                    <w:t>2514 JS Den Haag</w:t>
                                  </w:r>
                                </w:p>
                              </w:tc>
                              <w:tc>
                                <w:tcPr>
                                  <w:tcW w:w="2250" w:type="dxa"/>
                                </w:tcPr>
                                <w:p w:rsidR="008F29F9" w:rsidRPr="00564D1E" w:rsidRDefault="008F29F9" w:rsidP="00443C6D">
                                  <w:pPr>
                                    <w:spacing w:line="270" w:lineRule="atLeast"/>
                                    <w:rPr>
                                      <w:color w:val="000000"/>
                                      <w:sz w:val="20"/>
                                      <w:szCs w:val="20"/>
                                    </w:rPr>
                                  </w:pPr>
                                  <w:r w:rsidRPr="00564D1E">
                                    <w:rPr>
                                      <w:color w:val="000000"/>
                                      <w:sz w:val="20"/>
                                      <w:szCs w:val="20"/>
                                    </w:rPr>
                                    <w:t>Postadres:</w:t>
                                  </w:r>
                                  <w:r w:rsidRPr="00564D1E">
                                    <w:rPr>
                                      <w:color w:val="000000"/>
                                      <w:sz w:val="20"/>
                                      <w:szCs w:val="20"/>
                                    </w:rPr>
                                    <w:br/>
                                    <w:t>Postbus 30435</w:t>
                                  </w:r>
                                  <w:r w:rsidRPr="00564D1E">
                                    <w:rPr>
                                      <w:color w:val="000000"/>
                                      <w:sz w:val="20"/>
                                      <w:szCs w:val="20"/>
                                    </w:rPr>
                                    <w:br/>
                                    <w:t>2500 GK Den Haag</w:t>
                                  </w:r>
                                </w:p>
                              </w:tc>
                              <w:tc>
                                <w:tcPr>
                                  <w:tcW w:w="2250" w:type="dxa"/>
                                </w:tcPr>
                                <w:p w:rsidR="008F29F9" w:rsidRPr="00564D1E" w:rsidRDefault="00F34DE6" w:rsidP="00443C6D">
                                  <w:pPr>
                                    <w:spacing w:line="270" w:lineRule="atLeast"/>
                                    <w:rPr>
                                      <w:color w:val="000000"/>
                                      <w:sz w:val="20"/>
                                      <w:szCs w:val="20"/>
                                      <w:lang w:val="en-US"/>
                                    </w:rPr>
                                  </w:pPr>
                                  <w:r>
                                    <w:fldChar w:fldCharType="begin"/>
                                  </w:r>
                                  <w:r w:rsidR="008F29F9">
                                    <w:instrText>HYPERLINK "mailto:info@kinggemeenten.nl" \t "_blank"</w:instrText>
                                  </w:r>
                                  <w:r>
                                    <w:fldChar w:fldCharType="separate"/>
                                  </w:r>
                                  <w:r w:rsidR="008F29F9" w:rsidRPr="00564D1E">
                                    <w:rPr>
                                      <w:color w:val="6C5A45"/>
                                      <w:sz w:val="20"/>
                                      <w:szCs w:val="20"/>
                                      <w:lang w:val="en-US"/>
                                    </w:rPr>
                                    <w:t>info@kinggemeenten.nl</w:t>
                                  </w:r>
                                  <w:r>
                                    <w:fldChar w:fldCharType="end"/>
                                  </w:r>
                                  <w:r w:rsidR="008F29F9" w:rsidRPr="00564D1E">
                                    <w:rPr>
                                      <w:color w:val="000000"/>
                                      <w:sz w:val="20"/>
                                      <w:szCs w:val="20"/>
                                      <w:lang w:val="en-US"/>
                                    </w:rPr>
                                    <w:br/>
                                    <w:t>T: 070 373 8017</w:t>
                                  </w:r>
                                  <w:r w:rsidR="008F29F9" w:rsidRPr="00564D1E">
                                    <w:rPr>
                                      <w:color w:val="000000"/>
                                      <w:sz w:val="20"/>
                                      <w:szCs w:val="20"/>
                                      <w:lang w:val="en-US"/>
                                    </w:rPr>
                                    <w:br/>
                                    <w:t>F: 070 363 5682</w:t>
                                  </w:r>
                                </w:p>
                              </w:tc>
                            </w:tr>
                          </w:tbl>
                          <w:p w:rsidR="008F29F9" w:rsidRPr="00B21709" w:rsidRDefault="008F29F9" w:rsidP="00443C6D">
                            <w:pPr>
                              <w:pBdr>
                                <w:top w:val="single" w:sz="8" w:space="10" w:color="FFFFFF"/>
                                <w:bottom w:val="single" w:sz="8" w:space="10" w:color="FFFFFF"/>
                              </w:pBdr>
                              <w:jc w:val="center"/>
                              <w:rPr>
                                <w:i/>
                                <w:iCs/>
                                <w:color w:val="808080"/>
                                <w:sz w:val="24"/>
                                <w:lang w:val="en-US"/>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0nfqx0@0l0@2qy@0,21600em@1,0nfqx21600@0l21600@2qy@1,21600em@0,0nsqx0@0l0@2qy@0,21600l@1,21600qx21600@2l21600@0qy@1,0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30" type="#_x0000_t185" style="position:absolute;margin-left:64.9pt;margin-top:439.15pt;width:347.25pt;height:167.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" o:allowincell="f" adj="1739" fillcolor="#943634" strokecolor="#cc0068" strokeweight="3pt">
                <v:shadow color="#7a003e" opacity="49150f" offset="1pt,1pt"/>
                <v:textbox style="mso-fit-shape-to-text:t" inset="3.6pt,,3.6pt">
                  <w:txbxContent>
                    <w:p w:rsidR="008F29F9" w:rsidRDefault="008F29F9" w:rsidP="00443C6D">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8F29F9" w:rsidRPr="00D80B5A">
                        <w:tc>
                          <w:tcPr>
                            <w:tcW w:w="1800" w:type="dxa"/>
                          </w:tcPr>
                          <w:p w:rsidR="008F29F9" w:rsidRPr="00564D1E" w:rsidRDefault="008F29F9" w:rsidP="00443C6D">
                            <w:pPr>
                              <w:spacing w:line="270" w:lineRule="atLeast"/>
                              <w:rPr>
                                <w:color w:val="000000"/>
                                <w:sz w:val="20"/>
                                <w:szCs w:val="20"/>
                              </w:rPr>
                            </w:pPr>
                            <w:r w:rsidRPr="00564D1E">
                              <w:rPr>
                                <w:color w:val="000000"/>
                                <w:sz w:val="20"/>
                                <w:szCs w:val="20"/>
                              </w:rPr>
                              <w:t>Bezoekadres:</w:t>
                            </w:r>
                            <w:r w:rsidRPr="00564D1E">
                              <w:rPr>
                                <w:color w:val="000000"/>
                                <w:sz w:val="20"/>
                                <w:szCs w:val="20"/>
                              </w:rPr>
                              <w:br/>
                              <w:t>Nassaulaan 12</w:t>
                            </w:r>
                            <w:r w:rsidRPr="00564D1E">
                              <w:rPr>
                                <w:color w:val="000000"/>
                                <w:sz w:val="20"/>
                                <w:szCs w:val="20"/>
                              </w:rPr>
                              <w:br/>
                              <w:t>2514 JS Den Haag</w:t>
                            </w:r>
                          </w:p>
                        </w:tc>
                        <w:tc>
                          <w:tcPr>
                            <w:tcW w:w="2250" w:type="dxa"/>
                          </w:tcPr>
                          <w:p w:rsidR="008F29F9" w:rsidRPr="00564D1E" w:rsidRDefault="008F29F9" w:rsidP="00443C6D">
                            <w:pPr>
                              <w:spacing w:line="270" w:lineRule="atLeast"/>
                              <w:rPr>
                                <w:color w:val="000000"/>
                                <w:sz w:val="20"/>
                                <w:szCs w:val="20"/>
                              </w:rPr>
                            </w:pPr>
                            <w:r w:rsidRPr="00564D1E">
                              <w:rPr>
                                <w:color w:val="000000"/>
                                <w:sz w:val="20"/>
                                <w:szCs w:val="20"/>
                              </w:rPr>
                              <w:t>Postadres:</w:t>
                            </w:r>
                            <w:r w:rsidRPr="00564D1E">
                              <w:rPr>
                                <w:color w:val="000000"/>
                                <w:sz w:val="20"/>
                                <w:szCs w:val="20"/>
                              </w:rPr>
                              <w:br/>
                              <w:t>Postbus 30435</w:t>
                            </w:r>
                            <w:r w:rsidRPr="00564D1E">
                              <w:rPr>
                                <w:color w:val="000000"/>
                                <w:sz w:val="20"/>
                                <w:szCs w:val="20"/>
                              </w:rPr>
                              <w:br/>
                              <w:t>2500 GK Den Haag</w:t>
                            </w:r>
                          </w:p>
                        </w:tc>
                        <w:tc>
                          <w:tcPr>
                            <w:tcW w:w="2250" w:type="dxa"/>
                          </w:tcPr>
                          <w:p w:rsidR="008F29F9" w:rsidRPr="00564D1E" w:rsidRDefault="00F34DE6" w:rsidP="00443C6D">
                            <w:pPr>
                              <w:spacing w:line="270" w:lineRule="atLeast"/>
                              <w:rPr>
                                <w:color w:val="000000"/>
                                <w:sz w:val="20"/>
                                <w:szCs w:val="20"/>
                                <w:lang w:val="en-US"/>
                              </w:rPr>
                            </w:pPr>
                            <w:r>
                              <w:fldChar w:fldCharType="begin"/>
                            </w:r>
                            <w:r w:rsidR="008F29F9">
                              <w:instrText>HYPERLINK "mailto:info@kinggemeenten.nl" \t "_blank"</w:instrText>
                            </w:r>
                            <w:r>
                              <w:fldChar w:fldCharType="separate"/>
                            </w:r>
                            <w:r w:rsidR="008F29F9" w:rsidRPr="00564D1E">
                              <w:rPr>
                                <w:color w:val="6C5A45"/>
                                <w:sz w:val="20"/>
                                <w:szCs w:val="20"/>
                                <w:lang w:val="en-US"/>
                              </w:rPr>
                              <w:t>info@kinggemeenten.nl</w:t>
                            </w:r>
                            <w:r>
                              <w:fldChar w:fldCharType="end"/>
                            </w:r>
                            <w:r w:rsidR="008F29F9" w:rsidRPr="00564D1E">
                              <w:rPr>
                                <w:color w:val="000000"/>
                                <w:sz w:val="20"/>
                                <w:szCs w:val="20"/>
                                <w:lang w:val="en-US"/>
                              </w:rPr>
                              <w:br/>
                              <w:t>T: 070 373 8017</w:t>
                            </w:r>
                            <w:r w:rsidR="008F29F9" w:rsidRPr="00564D1E">
                              <w:rPr>
                                <w:color w:val="000000"/>
                                <w:sz w:val="20"/>
                                <w:szCs w:val="20"/>
                                <w:lang w:val="en-US"/>
                              </w:rPr>
                              <w:br/>
                              <w:t>F: 070 363 5682</w:t>
                            </w:r>
                          </w:p>
                        </w:tc>
                      </w:tr>
                    </w:tbl>
                    <w:p w:rsidR="008F29F9" w:rsidRPr="00B21709" w:rsidRDefault="008F29F9" w:rsidP="00443C6D">
                      <w:pPr>
                        <w:pBdr>
                          <w:top w:val="single" w:sz="8" w:space="10" w:color="FFFFFF"/>
                          <w:bottom w:val="single" w:sz="8" w:space="10" w:color="FFFFFF"/>
                        </w:pBdr>
                        <w:jc w:val="center"/>
                        <w:rPr>
                          <w:i/>
                          <w:iCs/>
                          <w:color w:val="808080"/>
                          <w:sz w:val="24"/>
                          <w:lang w:val="en-US"/>
                        </w:rPr>
                      </w:pPr>
                    </w:p>
                  </w:txbxContent>
                </v:textbox>
                <w10:wrap type="square" anchorx="margin" anchory="margin"/>
              </v:shape>
            </w:pict>
          </mc:Fallback>
        </mc:AlternateContent>
      </w:r>
      <w:r w:rsidR="001344EE" w:rsidRPr="0038425A">
        <w:rPr>
          <w:noProof/>
          <w:lang w:val="en-US" w:eastAsia="nl-NL"/>
        </w:rPr>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22"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443C6D" w:rsidRPr="0038425A" w:rsidSect="00443C6D">
      <w:headerReference w:type="default" r:id="rId23"/>
      <w:footerReference w:type="defaul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9F9" w:rsidRDefault="008F29F9" w:rsidP="00443C6D">
      <w:pPr>
        <w:spacing w:after="0" w:line="240" w:lineRule="auto"/>
      </w:pPr>
      <w:r>
        <w:separator/>
      </w:r>
    </w:p>
  </w:endnote>
  <w:endnote w:type="continuationSeparator" w:id="0">
    <w:p w:rsidR="008F29F9" w:rsidRDefault="008F29F9" w:rsidP="00443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17972"/>
      <w:docPartObj>
        <w:docPartGallery w:val="Page Numbers (Bottom of Page)"/>
        <w:docPartUnique/>
      </w:docPartObj>
    </w:sdtPr>
    <w:sdtEndPr/>
    <w:sdtContent>
      <w:p w:rsidR="008F29F9" w:rsidRDefault="008F29F9">
        <w:pPr>
          <w:pStyle w:val="Voettekst"/>
          <w:jc w:val="right"/>
        </w:pPr>
        <w:r>
          <w:rPr>
            <w:noProof/>
            <w:lang w:val="en-US" w:eastAsia="nl-NL"/>
          </w:rPr>
          <w:drawing>
            <wp:anchor distT="0" distB="0" distL="114300" distR="114300" simplePos="0" relativeHeight="251658239"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r w:rsidR="00AC7526">
          <w:fldChar w:fldCharType="begin"/>
        </w:r>
        <w:r w:rsidR="00AC7526">
          <w:instrText xml:space="preserve"> PAGE   \* MERGEFORMAT </w:instrText>
        </w:r>
        <w:r w:rsidR="00AC7526">
          <w:fldChar w:fldCharType="separate"/>
        </w:r>
        <w:r w:rsidR="00AC7526">
          <w:rPr>
            <w:noProof/>
          </w:rPr>
          <w:t>35</w:t>
        </w:r>
        <w:r w:rsidR="00AC7526">
          <w:rPr>
            <w:noProof/>
          </w:rPr>
          <w:fldChar w:fldCharType="end"/>
        </w:r>
      </w:p>
    </w:sdtContent>
  </w:sdt>
  <w:p w:rsidR="008F29F9" w:rsidRDefault="008F29F9">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9F9" w:rsidRDefault="008F29F9" w:rsidP="00443C6D">
      <w:pPr>
        <w:spacing w:after="0" w:line="240" w:lineRule="auto"/>
      </w:pPr>
      <w:r>
        <w:separator/>
      </w:r>
    </w:p>
  </w:footnote>
  <w:footnote w:type="continuationSeparator" w:id="0">
    <w:p w:rsidR="008F29F9" w:rsidRDefault="008F29F9" w:rsidP="00443C6D">
      <w:pPr>
        <w:spacing w:after="0" w:line="240" w:lineRule="auto"/>
      </w:pPr>
      <w:r>
        <w:continuationSeparator/>
      </w:r>
    </w:p>
  </w:footnote>
  <w:footnote w:id="1">
    <w:p w:rsidR="002E774F" w:rsidRPr="002E774F" w:rsidRDefault="002E774F">
      <w:pPr>
        <w:pStyle w:val="Voetnoottekst"/>
        <w:rPr>
          <w:sz w:val="20"/>
        </w:rPr>
      </w:pPr>
      <w:r w:rsidRPr="002E774F">
        <w:rPr>
          <w:rStyle w:val="Voetnootmarkering"/>
          <w:sz w:val="20"/>
        </w:rPr>
        <w:footnoteRef/>
      </w:r>
      <w:r w:rsidRPr="002E774F">
        <w:rPr>
          <w:sz w:val="20"/>
        </w:rPr>
        <w:t xml:space="preserve"> </w:t>
      </w:r>
      <w:r w:rsidR="008B11F5" w:rsidRPr="0050762A">
        <w:rPr>
          <w:sz w:val="20"/>
        </w:rPr>
        <w:t>De verwerking van een</w:t>
      </w:r>
      <w:r w:rsidR="008B11F5" w:rsidRPr="002E774F">
        <w:rPr>
          <w:sz w:val="20"/>
        </w:rPr>
        <w:t xml:space="preserve"> </w:t>
      </w:r>
      <w:r w:rsidR="00591F9E">
        <w:rPr>
          <w:sz w:val="20"/>
        </w:rPr>
        <w:t xml:space="preserve">‘Zaak’ gebeurt door </w:t>
      </w:r>
      <w:r w:rsidR="001A1C5F">
        <w:rPr>
          <w:sz w:val="20"/>
        </w:rPr>
        <w:t xml:space="preserve">het activeren van </w:t>
      </w:r>
      <w:r w:rsidR="00591F9E">
        <w:rPr>
          <w:sz w:val="20"/>
        </w:rPr>
        <w:t xml:space="preserve">een bijbehorend werkproces van de gemeente. In de ZaakTypeCatalogus (ZTC) wordt het verband tussen zaken en werkprocessen aangegeven. </w:t>
      </w:r>
      <w:r w:rsidR="001A1C5F">
        <w:rPr>
          <w:sz w:val="20"/>
        </w:rPr>
        <w:t>Omdat de ZTC 2.0 nu (februari 2011) nog in ontwikkeling is</w:t>
      </w:r>
      <w:r w:rsidR="0087287F">
        <w:rPr>
          <w:sz w:val="20"/>
        </w:rPr>
        <w:t>,</w:t>
      </w:r>
      <w:r w:rsidR="001A1C5F">
        <w:rPr>
          <w:sz w:val="20"/>
        </w:rPr>
        <w:t xml:space="preserve"> wordt het verband met de ZTC in deze handreiking nog niet opge</w:t>
      </w:r>
      <w:r w:rsidR="001A1C5F">
        <w:rPr>
          <w:sz w:val="20"/>
        </w:rPr>
        <w:softHyphen/>
        <w:t>nomen.</w:t>
      </w:r>
    </w:p>
  </w:footnote>
  <w:footnote w:id="2">
    <w:p w:rsidR="008B11F5" w:rsidRPr="008B11F5" w:rsidRDefault="008B11F5">
      <w:pPr>
        <w:pStyle w:val="Voetnoottekst"/>
        <w:rPr>
          <w:sz w:val="20"/>
        </w:rPr>
      </w:pPr>
      <w:r w:rsidRPr="008B11F5">
        <w:rPr>
          <w:rStyle w:val="Voetnootmarkering"/>
          <w:sz w:val="20"/>
        </w:rPr>
        <w:footnoteRef/>
      </w:r>
      <w:r w:rsidRPr="008B11F5">
        <w:rPr>
          <w:sz w:val="20"/>
        </w:rPr>
        <w:t xml:space="preserve"> </w:t>
      </w:r>
      <w:r w:rsidRPr="001F5D47">
        <w:rPr>
          <w:sz w:val="20"/>
        </w:rPr>
        <w:t>Hierbij is de terminologie van de GEMMA-proces</w:t>
      </w:r>
      <w:r w:rsidRPr="001F5D47">
        <w:rPr>
          <w:sz w:val="20"/>
        </w:rPr>
        <w:softHyphen/>
        <w:t>archi</w:t>
      </w:r>
      <w:r w:rsidRPr="001F5D47">
        <w:rPr>
          <w:sz w:val="20"/>
        </w:rPr>
        <w:softHyphen/>
        <w:t>tectuur gebruik</w:t>
      </w:r>
      <w:r>
        <w:rPr>
          <w:sz w:val="20"/>
        </w:rPr>
        <w:t>t.</w:t>
      </w:r>
    </w:p>
  </w:footnote>
  <w:footnote w:id="3">
    <w:p w:rsidR="008B11F5" w:rsidRPr="008B11F5" w:rsidRDefault="008B11F5">
      <w:pPr>
        <w:pStyle w:val="Voetnoottekst"/>
        <w:rPr>
          <w:sz w:val="20"/>
        </w:rPr>
      </w:pPr>
      <w:r w:rsidRPr="008B11F5">
        <w:rPr>
          <w:rStyle w:val="Voetnootmarkering"/>
          <w:sz w:val="20"/>
        </w:rPr>
        <w:footnoteRef/>
      </w:r>
      <w:r w:rsidRPr="008B11F5">
        <w:rPr>
          <w:sz w:val="20"/>
        </w:rPr>
        <w:t xml:space="preserve"> </w:t>
      </w:r>
      <w:r>
        <w:rPr>
          <w:sz w:val="20"/>
        </w:rPr>
        <w:t xml:space="preserve">Bij de uitwerking van ‘Inschrijven in de GBA’ wordt de terminologie en het procesverloop uit het GEMMA-werkproces ‘Aangiften’ gebruikt, maar de detaillering verschilt, omdat de focus in deze handreiking gericht is op de samenhang tussen de GBA en de BAG. De detaillering voor ‘Klantcontact’ en ‘Zaakcoördinator’ is </w:t>
      </w:r>
      <w:r w:rsidR="0087287F">
        <w:rPr>
          <w:sz w:val="20"/>
        </w:rPr>
        <w:t>bijvoor</w:t>
      </w:r>
      <w:r w:rsidR="0087287F">
        <w:rPr>
          <w:sz w:val="20"/>
        </w:rPr>
        <w:softHyphen/>
        <w:t xml:space="preserve">beeld </w:t>
      </w:r>
      <w:r>
        <w:rPr>
          <w:sz w:val="20"/>
        </w:rPr>
        <w:t>minder groot dan in het GEMMA-werkproces geschetst wordt.</w:t>
      </w:r>
    </w:p>
  </w:footnote>
  <w:footnote w:id="4">
    <w:p w:rsidR="008F29F9" w:rsidRPr="001C7658" w:rsidRDefault="008F29F9" w:rsidP="00683684">
      <w:pPr>
        <w:pStyle w:val="Voetnoottekst"/>
        <w:rPr>
          <w:sz w:val="20"/>
        </w:rPr>
      </w:pPr>
      <w:r w:rsidRPr="001C7658">
        <w:rPr>
          <w:rStyle w:val="Voetnootmarkering"/>
          <w:sz w:val="20"/>
        </w:rPr>
        <w:footnoteRef/>
      </w:r>
      <w:r w:rsidRPr="001C7658">
        <w:rPr>
          <w:sz w:val="20"/>
        </w:rPr>
        <w:t xml:space="preserve"> De indeling </w:t>
      </w:r>
      <w:r w:rsidRPr="001C7658">
        <w:rPr>
          <w:i/>
          <w:sz w:val="20"/>
        </w:rPr>
        <w:t>frontoffice</w:t>
      </w:r>
      <w:r w:rsidRPr="001C7658">
        <w:rPr>
          <w:sz w:val="20"/>
        </w:rPr>
        <w:t xml:space="preserve">, </w:t>
      </w:r>
      <w:r w:rsidRPr="001C7658">
        <w:rPr>
          <w:i/>
          <w:sz w:val="20"/>
        </w:rPr>
        <w:t>midoffice</w:t>
      </w:r>
      <w:r w:rsidRPr="001C7658">
        <w:rPr>
          <w:sz w:val="20"/>
        </w:rPr>
        <w:t xml:space="preserve"> en </w:t>
      </w:r>
      <w:r w:rsidRPr="001C7658">
        <w:rPr>
          <w:i/>
          <w:sz w:val="20"/>
        </w:rPr>
        <w:t>backoffice</w:t>
      </w:r>
      <w:r w:rsidRPr="001C7658">
        <w:rPr>
          <w:sz w:val="20"/>
        </w:rPr>
        <w:t xml:space="preserve"> sluit aan bij de GEMMA</w:t>
      </w:r>
      <w:r>
        <w:rPr>
          <w:sz w:val="20"/>
        </w:rPr>
        <w:t xml:space="preserve"> (Gemeentelijke Model Architectuur)</w:t>
      </w:r>
      <w:r w:rsidRPr="001C7658">
        <w:rPr>
          <w:sz w:val="20"/>
        </w:rPr>
        <w:t>, zoals aangegeven in de basisplaten van de GEMMA-informatiearchitectuur.</w:t>
      </w:r>
    </w:p>
  </w:footnote>
  <w:footnote w:id="5">
    <w:p w:rsidR="0048245C" w:rsidRPr="0048245C" w:rsidRDefault="0048245C">
      <w:pPr>
        <w:pStyle w:val="Voetnoottekst"/>
        <w:rPr>
          <w:sz w:val="20"/>
        </w:rPr>
      </w:pPr>
      <w:r w:rsidRPr="0048245C">
        <w:rPr>
          <w:rStyle w:val="Voetnootmarkering"/>
          <w:sz w:val="20"/>
        </w:rPr>
        <w:footnoteRef/>
      </w:r>
      <w:r w:rsidRPr="0048245C">
        <w:rPr>
          <w:sz w:val="20"/>
        </w:rPr>
        <w:t xml:space="preserve"> </w:t>
      </w:r>
      <w:r w:rsidRPr="0048245C">
        <w:rPr>
          <w:rFonts w:ascii="Calibri" w:hAnsi="Calibri"/>
          <w:sz w:val="20"/>
        </w:rPr>
        <w:t>Voor de vorm en notatie van de processchema’s wordt BPMN (Business Process Model and Notation, version 1.2, january 2009) van de Object Management Group gebruikt. In bijlage C zijn de gebruikte symbolen in de processchema’s aangegeven.</w:t>
      </w:r>
    </w:p>
  </w:footnote>
  <w:footnote w:id="6">
    <w:p w:rsidR="008F29F9" w:rsidRPr="00AD13BC" w:rsidRDefault="008F29F9" w:rsidP="00B31E23">
      <w:pPr>
        <w:pStyle w:val="Voetnoottekst"/>
        <w:jc w:val="both"/>
        <w:rPr>
          <w:sz w:val="20"/>
        </w:rPr>
      </w:pPr>
      <w:r>
        <w:rPr>
          <w:rStyle w:val="Voetnootmarkering"/>
        </w:rPr>
        <w:footnoteRef/>
      </w:r>
      <w:r>
        <w:t xml:space="preserve"> </w:t>
      </w:r>
      <w:r>
        <w:rPr>
          <w:sz w:val="20"/>
        </w:rPr>
        <w:t>Een opsomming met ‘ronde dots’ geeft een werkproces, processtap of een groep activiteiten aan met de namen die ook voor de processchema’s of binnen die schema’s gebruikt</w:t>
      </w:r>
      <w:r w:rsidRPr="00541038">
        <w:rPr>
          <w:sz w:val="20"/>
        </w:rPr>
        <w:t xml:space="preserve"> </w:t>
      </w:r>
      <w:r>
        <w:rPr>
          <w:sz w:val="20"/>
        </w:rPr>
        <w:t>worden</w:t>
      </w:r>
      <w:r w:rsidRPr="00AD13BC">
        <w:rPr>
          <w:sz w:val="20"/>
        </w:rPr>
        <w:t>. De nadruk ligt bij de schema’s op de samenhang tussen BAG en GBA en de procesgang vormt geen uitgewerkt model voor de gemeentelijke dienstverlening rond de GBA. Hoe Zaak</w:t>
      </w:r>
      <w:r w:rsidRPr="00AD13BC">
        <w:rPr>
          <w:sz w:val="20"/>
        </w:rPr>
        <w:softHyphen/>
        <w:t>coördinatie in detail verloopt is afhankelijk van de invulling van de midoffice bij een gemeente.</w:t>
      </w:r>
    </w:p>
  </w:footnote>
  <w:footnote w:id="7">
    <w:p w:rsidR="008F29F9" w:rsidRPr="001C7658" w:rsidRDefault="008F29F9" w:rsidP="00683684">
      <w:pPr>
        <w:pStyle w:val="Voetnoottekst"/>
        <w:rPr>
          <w:sz w:val="20"/>
        </w:rPr>
      </w:pPr>
      <w:r w:rsidRPr="001C7658">
        <w:rPr>
          <w:rStyle w:val="Voetnootmarkering"/>
          <w:sz w:val="20"/>
        </w:rPr>
        <w:footnoteRef/>
      </w:r>
      <w:r w:rsidRPr="001C7658">
        <w:rPr>
          <w:sz w:val="20"/>
        </w:rPr>
        <w:t xml:space="preserve"> Een Digimelding naar de BAGLV wordt vervolgens weer naar de (eigen) lokale BAG gestuurd volgens de gebruikelijke procedures. Dit garandeert eenduidige behandeling van de melding. Terugkoppeling van het resultaat is echter via deze weg niet gegarandeerd.</w:t>
      </w:r>
    </w:p>
  </w:footnote>
  <w:footnote w:id="8">
    <w:p w:rsidR="008F29F9" w:rsidRPr="00675B15" w:rsidRDefault="008F29F9">
      <w:pPr>
        <w:pStyle w:val="Voetnoottekst"/>
        <w:rPr>
          <w:sz w:val="20"/>
        </w:rPr>
      </w:pPr>
      <w:r>
        <w:rPr>
          <w:rStyle w:val="Voetnootmarkering"/>
        </w:rPr>
        <w:footnoteRef/>
      </w:r>
      <w:r>
        <w:t xml:space="preserve"> </w:t>
      </w:r>
      <w:r>
        <w:rPr>
          <w:sz w:val="20"/>
        </w:rPr>
        <w:t>De ondersteuning van mutaties van Woonplaatsen in de BAG-applicatie is afhankelijk van de implementatie van de leverancier. Sommige leveranciers bieden dit uitsluitend als meerwerk aan in overleg met de gemeente.</w:t>
      </w:r>
    </w:p>
  </w:footnote>
  <w:footnote w:id="9">
    <w:p w:rsidR="008F29F9" w:rsidRDefault="008F29F9">
      <w:pPr>
        <w:pStyle w:val="Voetnoottekst"/>
      </w:pPr>
      <w:r>
        <w:rPr>
          <w:rStyle w:val="Voetnootmarkering"/>
        </w:rPr>
        <w:footnoteRef/>
      </w:r>
      <w:r>
        <w:t xml:space="preserve"> </w:t>
      </w:r>
      <w:r w:rsidRPr="00675B15">
        <w:rPr>
          <w:sz w:val="20"/>
        </w:rPr>
        <w:t>Idem voor</w:t>
      </w:r>
      <w:r>
        <w:t xml:space="preserve"> </w:t>
      </w:r>
      <w:r>
        <w:rPr>
          <w:sz w:val="20"/>
        </w:rPr>
        <w:t>Openbare ruimten.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9F9" w:rsidRDefault="008F29F9" w:rsidP="00443C6D">
    <w:pPr>
      <w:pStyle w:val="Koptekst"/>
      <w:tabs>
        <w:tab w:val="clear" w:pos="9072"/>
      </w:tabs>
    </w:pPr>
    <w:r>
      <w:tab/>
    </w:r>
    <w:r w:rsidRPr="0038425A">
      <w:rPr>
        <w:noProof/>
        <w:lang w:val="en-US" w:eastAsia="nl-NL"/>
      </w:rPr>
      <w:drawing>
        <wp:anchor distT="0" distB="0" distL="114300" distR="114300" simplePos="0" relativeHeight="251659264"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8F29F9" w:rsidRDefault="008F29F9">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F43C9"/>
    <w:multiLevelType w:val="hybridMultilevel"/>
    <w:tmpl w:val="9224E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E06BC"/>
    <w:multiLevelType w:val="multilevel"/>
    <w:tmpl w:val="37D8AAB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2727996"/>
    <w:multiLevelType w:val="multilevel"/>
    <w:tmpl w:val="DBDC1B0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9720DCA"/>
    <w:multiLevelType w:val="hybridMultilevel"/>
    <w:tmpl w:val="78E8FC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51E85"/>
    <w:multiLevelType w:val="hybridMultilevel"/>
    <w:tmpl w:val="30A45FE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4B6CC0"/>
    <w:multiLevelType w:val="multilevel"/>
    <w:tmpl w:val="DBDC1B0A"/>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51D3387"/>
    <w:multiLevelType w:val="hybridMultilevel"/>
    <w:tmpl w:val="F9E4619E"/>
    <w:lvl w:ilvl="0" w:tplc="329A8E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80FF8"/>
    <w:multiLevelType w:val="hybridMultilevel"/>
    <w:tmpl w:val="B62080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E2773B0"/>
    <w:multiLevelType w:val="hybridMultilevel"/>
    <w:tmpl w:val="F484F75A"/>
    <w:lvl w:ilvl="0" w:tplc="329A8E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5A27F1"/>
    <w:multiLevelType w:val="hybridMultilevel"/>
    <w:tmpl w:val="1CFE8FDC"/>
    <w:lvl w:ilvl="0" w:tplc="329A8EF8">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2D41644D"/>
    <w:multiLevelType w:val="hybridMultilevel"/>
    <w:tmpl w:val="5E4AC768"/>
    <w:lvl w:ilvl="0" w:tplc="0409000F">
      <w:start w:val="1"/>
      <w:numFmt w:val="bullet"/>
      <w:lvlText w:val="-"/>
      <w:lvlJc w:val="left"/>
      <w:pPr>
        <w:ind w:left="1080" w:hanging="360"/>
      </w:pPr>
      <w:rPr>
        <w:rFonts w:ascii="Times New Roman" w:hAnsi="Times New Roman" w:hint="default"/>
      </w:rPr>
    </w:lvl>
    <w:lvl w:ilvl="1" w:tplc="04090019"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1">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2">
    <w:nsid w:val="2E7A3708"/>
    <w:multiLevelType w:val="multilevel"/>
    <w:tmpl w:val="495C9B3A"/>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2FB20127"/>
    <w:multiLevelType w:val="hybridMultilevel"/>
    <w:tmpl w:val="E236CC50"/>
    <w:lvl w:ilvl="0" w:tplc="C8B8DE32">
      <w:start w:val="1"/>
      <w:numFmt w:val="decimal"/>
      <w:lvlText w:val="%1."/>
      <w:lvlJc w:val="left"/>
      <w:pPr>
        <w:ind w:left="720" w:hanging="360"/>
      </w:pPr>
      <w:rPr>
        <w:rFonts w:hint="default"/>
      </w:rPr>
    </w:lvl>
    <w:lvl w:ilvl="1" w:tplc="A8CC323A" w:tentative="1">
      <w:start w:val="1"/>
      <w:numFmt w:val="lowerLetter"/>
      <w:lvlText w:val="%2."/>
      <w:lvlJc w:val="left"/>
      <w:pPr>
        <w:ind w:left="1440" w:hanging="360"/>
      </w:pPr>
    </w:lvl>
    <w:lvl w:ilvl="2" w:tplc="63DEB7F6" w:tentative="1">
      <w:start w:val="1"/>
      <w:numFmt w:val="lowerRoman"/>
      <w:lvlText w:val="%3."/>
      <w:lvlJc w:val="right"/>
      <w:pPr>
        <w:ind w:left="2160" w:hanging="180"/>
      </w:pPr>
    </w:lvl>
    <w:lvl w:ilvl="3" w:tplc="01627CD8" w:tentative="1">
      <w:start w:val="1"/>
      <w:numFmt w:val="decimal"/>
      <w:lvlText w:val="%4."/>
      <w:lvlJc w:val="left"/>
      <w:pPr>
        <w:ind w:left="2880" w:hanging="360"/>
      </w:pPr>
    </w:lvl>
    <w:lvl w:ilvl="4" w:tplc="C8108672" w:tentative="1">
      <w:start w:val="1"/>
      <w:numFmt w:val="lowerLetter"/>
      <w:lvlText w:val="%5."/>
      <w:lvlJc w:val="left"/>
      <w:pPr>
        <w:ind w:left="3600" w:hanging="360"/>
      </w:pPr>
    </w:lvl>
    <w:lvl w:ilvl="5" w:tplc="3CFE6A1E" w:tentative="1">
      <w:start w:val="1"/>
      <w:numFmt w:val="lowerRoman"/>
      <w:lvlText w:val="%6."/>
      <w:lvlJc w:val="right"/>
      <w:pPr>
        <w:ind w:left="4320" w:hanging="180"/>
      </w:pPr>
    </w:lvl>
    <w:lvl w:ilvl="6" w:tplc="8138AA72" w:tentative="1">
      <w:start w:val="1"/>
      <w:numFmt w:val="decimal"/>
      <w:lvlText w:val="%7."/>
      <w:lvlJc w:val="left"/>
      <w:pPr>
        <w:ind w:left="5040" w:hanging="360"/>
      </w:pPr>
    </w:lvl>
    <w:lvl w:ilvl="7" w:tplc="5B007A98" w:tentative="1">
      <w:start w:val="1"/>
      <w:numFmt w:val="lowerLetter"/>
      <w:lvlText w:val="%8."/>
      <w:lvlJc w:val="left"/>
      <w:pPr>
        <w:ind w:left="5760" w:hanging="360"/>
      </w:pPr>
    </w:lvl>
    <w:lvl w:ilvl="8" w:tplc="AE48A662" w:tentative="1">
      <w:start w:val="1"/>
      <w:numFmt w:val="lowerRoman"/>
      <w:lvlText w:val="%9."/>
      <w:lvlJc w:val="right"/>
      <w:pPr>
        <w:ind w:left="6480" w:hanging="180"/>
      </w:pPr>
    </w:lvl>
  </w:abstractNum>
  <w:abstractNum w:abstractNumId="14">
    <w:nsid w:val="34AF6C3D"/>
    <w:multiLevelType w:val="hybridMultilevel"/>
    <w:tmpl w:val="495C9B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71624D"/>
    <w:multiLevelType w:val="hybridMultilevel"/>
    <w:tmpl w:val="FCE6B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E20B16"/>
    <w:multiLevelType w:val="multilevel"/>
    <w:tmpl w:val="7DFA6F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E562E48"/>
    <w:multiLevelType w:val="multilevel"/>
    <w:tmpl w:val="7DFA6F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05B240F"/>
    <w:multiLevelType w:val="multilevel"/>
    <w:tmpl w:val="7DFA6F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4D677A1"/>
    <w:multiLevelType w:val="hybridMultilevel"/>
    <w:tmpl w:val="7DCED91C"/>
    <w:lvl w:ilvl="0" w:tplc="04090005">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BF0019"/>
    <w:multiLevelType w:val="multilevel"/>
    <w:tmpl w:val="7DFA6F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9C84D05"/>
    <w:multiLevelType w:val="hybridMultilevel"/>
    <w:tmpl w:val="091A7520"/>
    <w:lvl w:ilvl="0" w:tplc="329A8EF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873C78"/>
    <w:multiLevelType w:val="hybridMultilevel"/>
    <w:tmpl w:val="DBDC1B0A"/>
    <w:lvl w:ilvl="0" w:tplc="329A8EF8">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8734FA"/>
    <w:multiLevelType w:val="hybridMultilevel"/>
    <w:tmpl w:val="7DFA6F72"/>
    <w:lvl w:ilvl="0" w:tplc="C8B8DE32">
      <w:start w:val="1"/>
      <w:numFmt w:val="decimal"/>
      <w:lvlText w:val="%1."/>
      <w:lvlJc w:val="left"/>
      <w:pPr>
        <w:ind w:left="720" w:hanging="360"/>
      </w:pPr>
      <w:rPr>
        <w:rFonts w:hint="default"/>
      </w:rPr>
    </w:lvl>
    <w:lvl w:ilvl="1" w:tplc="A8CC323A" w:tentative="1">
      <w:start w:val="1"/>
      <w:numFmt w:val="lowerLetter"/>
      <w:lvlText w:val="%2."/>
      <w:lvlJc w:val="left"/>
      <w:pPr>
        <w:ind w:left="1440" w:hanging="360"/>
      </w:pPr>
    </w:lvl>
    <w:lvl w:ilvl="2" w:tplc="63DEB7F6" w:tentative="1">
      <w:start w:val="1"/>
      <w:numFmt w:val="lowerRoman"/>
      <w:lvlText w:val="%3."/>
      <w:lvlJc w:val="right"/>
      <w:pPr>
        <w:ind w:left="2160" w:hanging="180"/>
      </w:pPr>
    </w:lvl>
    <w:lvl w:ilvl="3" w:tplc="01627CD8" w:tentative="1">
      <w:start w:val="1"/>
      <w:numFmt w:val="decimal"/>
      <w:lvlText w:val="%4."/>
      <w:lvlJc w:val="left"/>
      <w:pPr>
        <w:ind w:left="2880" w:hanging="360"/>
      </w:pPr>
    </w:lvl>
    <w:lvl w:ilvl="4" w:tplc="C8108672" w:tentative="1">
      <w:start w:val="1"/>
      <w:numFmt w:val="lowerLetter"/>
      <w:lvlText w:val="%5."/>
      <w:lvlJc w:val="left"/>
      <w:pPr>
        <w:ind w:left="3600" w:hanging="360"/>
      </w:pPr>
    </w:lvl>
    <w:lvl w:ilvl="5" w:tplc="3CFE6A1E" w:tentative="1">
      <w:start w:val="1"/>
      <w:numFmt w:val="lowerRoman"/>
      <w:lvlText w:val="%6."/>
      <w:lvlJc w:val="right"/>
      <w:pPr>
        <w:ind w:left="4320" w:hanging="180"/>
      </w:pPr>
    </w:lvl>
    <w:lvl w:ilvl="6" w:tplc="8138AA72" w:tentative="1">
      <w:start w:val="1"/>
      <w:numFmt w:val="decimal"/>
      <w:lvlText w:val="%7."/>
      <w:lvlJc w:val="left"/>
      <w:pPr>
        <w:ind w:left="5040" w:hanging="360"/>
      </w:pPr>
    </w:lvl>
    <w:lvl w:ilvl="7" w:tplc="5B007A98" w:tentative="1">
      <w:start w:val="1"/>
      <w:numFmt w:val="lowerLetter"/>
      <w:lvlText w:val="%8."/>
      <w:lvlJc w:val="left"/>
      <w:pPr>
        <w:ind w:left="5760" w:hanging="360"/>
      </w:pPr>
    </w:lvl>
    <w:lvl w:ilvl="8" w:tplc="AE48A662" w:tentative="1">
      <w:start w:val="1"/>
      <w:numFmt w:val="lowerRoman"/>
      <w:lvlText w:val="%9."/>
      <w:lvlJc w:val="right"/>
      <w:pPr>
        <w:ind w:left="6480" w:hanging="180"/>
      </w:pPr>
    </w:lvl>
  </w:abstractNum>
  <w:abstractNum w:abstractNumId="24">
    <w:nsid w:val="5BD707F4"/>
    <w:multiLevelType w:val="hybridMultilevel"/>
    <w:tmpl w:val="84682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EA3F34"/>
    <w:multiLevelType w:val="hybridMultilevel"/>
    <w:tmpl w:val="BE24DCDA"/>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723896"/>
    <w:multiLevelType w:val="hybridMultilevel"/>
    <w:tmpl w:val="37D8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2"/>
  </w:num>
  <w:num w:numId="4">
    <w:abstractNumId w:val="10"/>
  </w:num>
  <w:num w:numId="5">
    <w:abstractNumId w:val="19"/>
  </w:num>
  <w:num w:numId="6">
    <w:abstractNumId w:val="9"/>
  </w:num>
  <w:num w:numId="7">
    <w:abstractNumId w:val="25"/>
  </w:num>
  <w:num w:numId="8">
    <w:abstractNumId w:val="14"/>
  </w:num>
  <w:num w:numId="9">
    <w:abstractNumId w:val="21"/>
  </w:num>
  <w:num w:numId="10">
    <w:abstractNumId w:val="3"/>
  </w:num>
  <w:num w:numId="11">
    <w:abstractNumId w:val="7"/>
  </w:num>
  <w:num w:numId="12">
    <w:abstractNumId w:val="11"/>
  </w:num>
  <w:num w:numId="13">
    <w:abstractNumId w:val="11"/>
  </w:num>
  <w:num w:numId="14">
    <w:abstractNumId w:val="11"/>
  </w:num>
  <w:num w:numId="15">
    <w:abstractNumId w:val="0"/>
  </w:num>
  <w:num w:numId="16">
    <w:abstractNumId w:val="23"/>
  </w:num>
  <w:num w:numId="17">
    <w:abstractNumId w:val="18"/>
  </w:num>
  <w:num w:numId="18">
    <w:abstractNumId w:val="17"/>
  </w:num>
  <w:num w:numId="19">
    <w:abstractNumId w:val="16"/>
  </w:num>
  <w:num w:numId="20">
    <w:abstractNumId w:val="20"/>
  </w:num>
  <w:num w:numId="21">
    <w:abstractNumId w:val="6"/>
  </w:num>
  <w:num w:numId="22">
    <w:abstractNumId w:val="12"/>
  </w:num>
  <w:num w:numId="23">
    <w:abstractNumId w:val="26"/>
  </w:num>
  <w:num w:numId="24">
    <w:abstractNumId w:val="4"/>
  </w:num>
  <w:num w:numId="25">
    <w:abstractNumId w:val="1"/>
  </w:num>
  <w:num w:numId="26">
    <w:abstractNumId w:val="8"/>
  </w:num>
  <w:num w:numId="27">
    <w:abstractNumId w:val="2"/>
  </w:num>
  <w:num w:numId="28">
    <w:abstractNumId w:val="15"/>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E8"/>
    <w:rsid w:val="000016ED"/>
    <w:rsid w:val="00007B1F"/>
    <w:rsid w:val="00020C79"/>
    <w:rsid w:val="00022209"/>
    <w:rsid w:val="00027141"/>
    <w:rsid w:val="0002797D"/>
    <w:rsid w:val="00036452"/>
    <w:rsid w:val="00037801"/>
    <w:rsid w:val="00040D4F"/>
    <w:rsid w:val="000500CA"/>
    <w:rsid w:val="0005018D"/>
    <w:rsid w:val="00052721"/>
    <w:rsid w:val="00054ED3"/>
    <w:rsid w:val="00061E80"/>
    <w:rsid w:val="000672FD"/>
    <w:rsid w:val="00073027"/>
    <w:rsid w:val="0007374F"/>
    <w:rsid w:val="000755DB"/>
    <w:rsid w:val="00084D64"/>
    <w:rsid w:val="0008578E"/>
    <w:rsid w:val="0009030B"/>
    <w:rsid w:val="000A035B"/>
    <w:rsid w:val="000A0CBF"/>
    <w:rsid w:val="000A530E"/>
    <w:rsid w:val="000B1515"/>
    <w:rsid w:val="000B24EE"/>
    <w:rsid w:val="000B44FF"/>
    <w:rsid w:val="000B53E8"/>
    <w:rsid w:val="000C3572"/>
    <w:rsid w:val="000D0AD1"/>
    <w:rsid w:val="000D15DA"/>
    <w:rsid w:val="000D48A3"/>
    <w:rsid w:val="000D53EF"/>
    <w:rsid w:val="000E0268"/>
    <w:rsid w:val="000F1067"/>
    <w:rsid w:val="000F775E"/>
    <w:rsid w:val="00100D63"/>
    <w:rsid w:val="00102EDD"/>
    <w:rsid w:val="0010314D"/>
    <w:rsid w:val="00103C89"/>
    <w:rsid w:val="00116BA5"/>
    <w:rsid w:val="001301EB"/>
    <w:rsid w:val="001344EE"/>
    <w:rsid w:val="001456B0"/>
    <w:rsid w:val="00147A54"/>
    <w:rsid w:val="00154D90"/>
    <w:rsid w:val="00163EBE"/>
    <w:rsid w:val="001644C1"/>
    <w:rsid w:val="00171FC4"/>
    <w:rsid w:val="001722EB"/>
    <w:rsid w:val="00176687"/>
    <w:rsid w:val="00182ECA"/>
    <w:rsid w:val="00193853"/>
    <w:rsid w:val="00194DD3"/>
    <w:rsid w:val="001A1C5F"/>
    <w:rsid w:val="001A3F3D"/>
    <w:rsid w:val="001A60A9"/>
    <w:rsid w:val="001B3A22"/>
    <w:rsid w:val="001C0E8D"/>
    <w:rsid w:val="001C3066"/>
    <w:rsid w:val="001C4BC9"/>
    <w:rsid w:val="001C5FB0"/>
    <w:rsid w:val="001C74F6"/>
    <w:rsid w:val="001D3764"/>
    <w:rsid w:val="001D472D"/>
    <w:rsid w:val="001E15FB"/>
    <w:rsid w:val="001E299F"/>
    <w:rsid w:val="001E385B"/>
    <w:rsid w:val="001E5E40"/>
    <w:rsid w:val="001F149F"/>
    <w:rsid w:val="001F5A67"/>
    <w:rsid w:val="001F60D8"/>
    <w:rsid w:val="002060CF"/>
    <w:rsid w:val="002063FA"/>
    <w:rsid w:val="00210963"/>
    <w:rsid w:val="00211ABC"/>
    <w:rsid w:val="00216CA4"/>
    <w:rsid w:val="0022541C"/>
    <w:rsid w:val="002261A5"/>
    <w:rsid w:val="002267BD"/>
    <w:rsid w:val="00231029"/>
    <w:rsid w:val="0023533B"/>
    <w:rsid w:val="00236B54"/>
    <w:rsid w:val="00254F7B"/>
    <w:rsid w:val="0026120A"/>
    <w:rsid w:val="00263B29"/>
    <w:rsid w:val="0026461C"/>
    <w:rsid w:val="00265059"/>
    <w:rsid w:val="0026636C"/>
    <w:rsid w:val="00272EC5"/>
    <w:rsid w:val="00273897"/>
    <w:rsid w:val="00273A88"/>
    <w:rsid w:val="00276314"/>
    <w:rsid w:val="0028123E"/>
    <w:rsid w:val="00285CCA"/>
    <w:rsid w:val="00290D3D"/>
    <w:rsid w:val="0029491A"/>
    <w:rsid w:val="00296C5B"/>
    <w:rsid w:val="00296D34"/>
    <w:rsid w:val="002A6007"/>
    <w:rsid w:val="002A7619"/>
    <w:rsid w:val="002B3089"/>
    <w:rsid w:val="002C311F"/>
    <w:rsid w:val="002C60EF"/>
    <w:rsid w:val="002C6937"/>
    <w:rsid w:val="002D490F"/>
    <w:rsid w:val="002E16C6"/>
    <w:rsid w:val="002E284F"/>
    <w:rsid w:val="002E3335"/>
    <w:rsid w:val="002E774F"/>
    <w:rsid w:val="002F0571"/>
    <w:rsid w:val="002F05DF"/>
    <w:rsid w:val="002F1E29"/>
    <w:rsid w:val="002F6F28"/>
    <w:rsid w:val="002F6F34"/>
    <w:rsid w:val="00300C97"/>
    <w:rsid w:val="00303DD8"/>
    <w:rsid w:val="00321716"/>
    <w:rsid w:val="00322D64"/>
    <w:rsid w:val="00331BC3"/>
    <w:rsid w:val="003346F2"/>
    <w:rsid w:val="00340D52"/>
    <w:rsid w:val="00342FF9"/>
    <w:rsid w:val="00343871"/>
    <w:rsid w:val="003466BB"/>
    <w:rsid w:val="00362201"/>
    <w:rsid w:val="00366AE7"/>
    <w:rsid w:val="00375A59"/>
    <w:rsid w:val="003768AC"/>
    <w:rsid w:val="00376CCF"/>
    <w:rsid w:val="0038090E"/>
    <w:rsid w:val="00386350"/>
    <w:rsid w:val="00390FB0"/>
    <w:rsid w:val="00393D89"/>
    <w:rsid w:val="00394428"/>
    <w:rsid w:val="0039764F"/>
    <w:rsid w:val="003A2233"/>
    <w:rsid w:val="003A2BDE"/>
    <w:rsid w:val="003B455D"/>
    <w:rsid w:val="003B684E"/>
    <w:rsid w:val="003B7C5B"/>
    <w:rsid w:val="003C1971"/>
    <w:rsid w:val="003C2BC0"/>
    <w:rsid w:val="003C2DBA"/>
    <w:rsid w:val="003C2E2D"/>
    <w:rsid w:val="003D0A0F"/>
    <w:rsid w:val="003D5F9E"/>
    <w:rsid w:val="003E6F6D"/>
    <w:rsid w:val="003F27AF"/>
    <w:rsid w:val="003F52F0"/>
    <w:rsid w:val="00404ADF"/>
    <w:rsid w:val="0040660A"/>
    <w:rsid w:val="00410807"/>
    <w:rsid w:val="00410A11"/>
    <w:rsid w:val="00413BD6"/>
    <w:rsid w:val="0041481E"/>
    <w:rsid w:val="00416C24"/>
    <w:rsid w:val="004211E4"/>
    <w:rsid w:val="00421E69"/>
    <w:rsid w:val="00426E65"/>
    <w:rsid w:val="0042729C"/>
    <w:rsid w:val="00432A52"/>
    <w:rsid w:val="00440320"/>
    <w:rsid w:val="00441FA6"/>
    <w:rsid w:val="00443C6D"/>
    <w:rsid w:val="004450B2"/>
    <w:rsid w:val="004552AE"/>
    <w:rsid w:val="00462ACB"/>
    <w:rsid w:val="00463BB2"/>
    <w:rsid w:val="0046453F"/>
    <w:rsid w:val="00466F0F"/>
    <w:rsid w:val="0048245C"/>
    <w:rsid w:val="004879C8"/>
    <w:rsid w:val="00487B32"/>
    <w:rsid w:val="004A0B65"/>
    <w:rsid w:val="004A3D1D"/>
    <w:rsid w:val="004A79B8"/>
    <w:rsid w:val="004A7E12"/>
    <w:rsid w:val="004B5556"/>
    <w:rsid w:val="004C2C41"/>
    <w:rsid w:val="004D01F0"/>
    <w:rsid w:val="004D0963"/>
    <w:rsid w:val="004D2201"/>
    <w:rsid w:val="004D6DFE"/>
    <w:rsid w:val="004E257B"/>
    <w:rsid w:val="004E48CA"/>
    <w:rsid w:val="005060E6"/>
    <w:rsid w:val="0050762A"/>
    <w:rsid w:val="00511915"/>
    <w:rsid w:val="0051297A"/>
    <w:rsid w:val="005165DE"/>
    <w:rsid w:val="00516EAE"/>
    <w:rsid w:val="00520FC0"/>
    <w:rsid w:val="00525B83"/>
    <w:rsid w:val="00526D16"/>
    <w:rsid w:val="00531F97"/>
    <w:rsid w:val="00541038"/>
    <w:rsid w:val="00547D9D"/>
    <w:rsid w:val="00550D17"/>
    <w:rsid w:val="00551CB4"/>
    <w:rsid w:val="00552078"/>
    <w:rsid w:val="00556C83"/>
    <w:rsid w:val="005607D2"/>
    <w:rsid w:val="005645D0"/>
    <w:rsid w:val="00564EE5"/>
    <w:rsid w:val="0057063A"/>
    <w:rsid w:val="005711ED"/>
    <w:rsid w:val="005744FF"/>
    <w:rsid w:val="00576256"/>
    <w:rsid w:val="005835C0"/>
    <w:rsid w:val="0059179B"/>
    <w:rsid w:val="00591F9E"/>
    <w:rsid w:val="00592983"/>
    <w:rsid w:val="005A1B69"/>
    <w:rsid w:val="005A2884"/>
    <w:rsid w:val="005A366D"/>
    <w:rsid w:val="005A5325"/>
    <w:rsid w:val="005A7170"/>
    <w:rsid w:val="005B0871"/>
    <w:rsid w:val="005B0B66"/>
    <w:rsid w:val="005B5150"/>
    <w:rsid w:val="005B755A"/>
    <w:rsid w:val="005C09FF"/>
    <w:rsid w:val="005C6399"/>
    <w:rsid w:val="005D01E8"/>
    <w:rsid w:val="005D3AE6"/>
    <w:rsid w:val="005D5A55"/>
    <w:rsid w:val="005E23B7"/>
    <w:rsid w:val="005E4BC1"/>
    <w:rsid w:val="005F602E"/>
    <w:rsid w:val="00611654"/>
    <w:rsid w:val="00622A5A"/>
    <w:rsid w:val="00631BB9"/>
    <w:rsid w:val="00633FA9"/>
    <w:rsid w:val="00634EDB"/>
    <w:rsid w:val="00636D84"/>
    <w:rsid w:val="00642407"/>
    <w:rsid w:val="006466C6"/>
    <w:rsid w:val="0065417B"/>
    <w:rsid w:val="00655585"/>
    <w:rsid w:val="00655B06"/>
    <w:rsid w:val="006579D0"/>
    <w:rsid w:val="00663A76"/>
    <w:rsid w:val="006701A4"/>
    <w:rsid w:val="00675B15"/>
    <w:rsid w:val="00682A6B"/>
    <w:rsid w:val="00683684"/>
    <w:rsid w:val="006951B5"/>
    <w:rsid w:val="006955EA"/>
    <w:rsid w:val="006A0EF4"/>
    <w:rsid w:val="006A0F1B"/>
    <w:rsid w:val="006A42EA"/>
    <w:rsid w:val="006A590A"/>
    <w:rsid w:val="006A5EA3"/>
    <w:rsid w:val="006A7867"/>
    <w:rsid w:val="006B34D7"/>
    <w:rsid w:val="006B58DA"/>
    <w:rsid w:val="006C0BEC"/>
    <w:rsid w:val="006C0C37"/>
    <w:rsid w:val="006C2F6A"/>
    <w:rsid w:val="006C38D3"/>
    <w:rsid w:val="006C69DB"/>
    <w:rsid w:val="006D5809"/>
    <w:rsid w:val="006E0488"/>
    <w:rsid w:val="006E1B72"/>
    <w:rsid w:val="006F1452"/>
    <w:rsid w:val="006F2975"/>
    <w:rsid w:val="006F4BD5"/>
    <w:rsid w:val="00700D6E"/>
    <w:rsid w:val="00707835"/>
    <w:rsid w:val="007213CC"/>
    <w:rsid w:val="00725037"/>
    <w:rsid w:val="00725CC5"/>
    <w:rsid w:val="0072627A"/>
    <w:rsid w:val="007267BE"/>
    <w:rsid w:val="00735664"/>
    <w:rsid w:val="0074005F"/>
    <w:rsid w:val="00741818"/>
    <w:rsid w:val="0074332C"/>
    <w:rsid w:val="00744801"/>
    <w:rsid w:val="00752C06"/>
    <w:rsid w:val="00762F67"/>
    <w:rsid w:val="00766C99"/>
    <w:rsid w:val="0076776B"/>
    <w:rsid w:val="007723BE"/>
    <w:rsid w:val="00776094"/>
    <w:rsid w:val="00777677"/>
    <w:rsid w:val="00784F80"/>
    <w:rsid w:val="00785B54"/>
    <w:rsid w:val="00787C87"/>
    <w:rsid w:val="00787DD5"/>
    <w:rsid w:val="00790B9D"/>
    <w:rsid w:val="007960E2"/>
    <w:rsid w:val="007963F9"/>
    <w:rsid w:val="007A2971"/>
    <w:rsid w:val="007A2A29"/>
    <w:rsid w:val="007A5F02"/>
    <w:rsid w:val="007A7B44"/>
    <w:rsid w:val="007A7BBB"/>
    <w:rsid w:val="007B01CD"/>
    <w:rsid w:val="007B0ABA"/>
    <w:rsid w:val="007B5B10"/>
    <w:rsid w:val="007B7D86"/>
    <w:rsid w:val="007C1A25"/>
    <w:rsid w:val="007C1D08"/>
    <w:rsid w:val="007C21D5"/>
    <w:rsid w:val="007C6C27"/>
    <w:rsid w:val="007C6D14"/>
    <w:rsid w:val="007D482F"/>
    <w:rsid w:val="007D5067"/>
    <w:rsid w:val="007D78D3"/>
    <w:rsid w:val="007E5B55"/>
    <w:rsid w:val="007E5F9D"/>
    <w:rsid w:val="00800D98"/>
    <w:rsid w:val="00806DC0"/>
    <w:rsid w:val="00806E89"/>
    <w:rsid w:val="00812573"/>
    <w:rsid w:val="008130EB"/>
    <w:rsid w:val="00816C5E"/>
    <w:rsid w:val="00817092"/>
    <w:rsid w:val="00817C96"/>
    <w:rsid w:val="00825D89"/>
    <w:rsid w:val="008323FB"/>
    <w:rsid w:val="00833B88"/>
    <w:rsid w:val="008367C4"/>
    <w:rsid w:val="0083754F"/>
    <w:rsid w:val="00841AE5"/>
    <w:rsid w:val="00847112"/>
    <w:rsid w:val="008535C6"/>
    <w:rsid w:val="008633DB"/>
    <w:rsid w:val="0086364B"/>
    <w:rsid w:val="0087233E"/>
    <w:rsid w:val="0087287F"/>
    <w:rsid w:val="00874CFE"/>
    <w:rsid w:val="008767B0"/>
    <w:rsid w:val="00887B5E"/>
    <w:rsid w:val="00895DE3"/>
    <w:rsid w:val="008964BB"/>
    <w:rsid w:val="008A30D8"/>
    <w:rsid w:val="008B11F5"/>
    <w:rsid w:val="008B1C85"/>
    <w:rsid w:val="008B4727"/>
    <w:rsid w:val="008D3542"/>
    <w:rsid w:val="008E1712"/>
    <w:rsid w:val="008E7869"/>
    <w:rsid w:val="008F29F9"/>
    <w:rsid w:val="008F518A"/>
    <w:rsid w:val="00901AEE"/>
    <w:rsid w:val="00902A77"/>
    <w:rsid w:val="00911518"/>
    <w:rsid w:val="00913257"/>
    <w:rsid w:val="009205FB"/>
    <w:rsid w:val="00920608"/>
    <w:rsid w:val="00922526"/>
    <w:rsid w:val="009339B2"/>
    <w:rsid w:val="00935F87"/>
    <w:rsid w:val="009369B8"/>
    <w:rsid w:val="00943922"/>
    <w:rsid w:val="00946F8B"/>
    <w:rsid w:val="00947886"/>
    <w:rsid w:val="009505D0"/>
    <w:rsid w:val="009573F4"/>
    <w:rsid w:val="009638CA"/>
    <w:rsid w:val="00980656"/>
    <w:rsid w:val="0098153C"/>
    <w:rsid w:val="009818B4"/>
    <w:rsid w:val="00993C46"/>
    <w:rsid w:val="00996CB7"/>
    <w:rsid w:val="00996F94"/>
    <w:rsid w:val="009973CD"/>
    <w:rsid w:val="009A0D34"/>
    <w:rsid w:val="009B0664"/>
    <w:rsid w:val="009B5EA3"/>
    <w:rsid w:val="009D1DD6"/>
    <w:rsid w:val="009E1426"/>
    <w:rsid w:val="009E34A5"/>
    <w:rsid w:val="009E38F9"/>
    <w:rsid w:val="009E3D92"/>
    <w:rsid w:val="009E6662"/>
    <w:rsid w:val="009F1B8B"/>
    <w:rsid w:val="009F6830"/>
    <w:rsid w:val="00A02B27"/>
    <w:rsid w:val="00A0704C"/>
    <w:rsid w:val="00A2163E"/>
    <w:rsid w:val="00A22880"/>
    <w:rsid w:val="00A24111"/>
    <w:rsid w:val="00A46957"/>
    <w:rsid w:val="00A51009"/>
    <w:rsid w:val="00A64BAC"/>
    <w:rsid w:val="00A64E3F"/>
    <w:rsid w:val="00A739B8"/>
    <w:rsid w:val="00A81585"/>
    <w:rsid w:val="00A8186A"/>
    <w:rsid w:val="00A828B8"/>
    <w:rsid w:val="00A83C90"/>
    <w:rsid w:val="00A93F25"/>
    <w:rsid w:val="00A9420C"/>
    <w:rsid w:val="00A94457"/>
    <w:rsid w:val="00A96EC4"/>
    <w:rsid w:val="00AA796C"/>
    <w:rsid w:val="00AB6399"/>
    <w:rsid w:val="00AB785A"/>
    <w:rsid w:val="00AC0676"/>
    <w:rsid w:val="00AC2C82"/>
    <w:rsid w:val="00AC7491"/>
    <w:rsid w:val="00AC7526"/>
    <w:rsid w:val="00AD02D8"/>
    <w:rsid w:val="00AD13BC"/>
    <w:rsid w:val="00AD5180"/>
    <w:rsid w:val="00AD7698"/>
    <w:rsid w:val="00AE147E"/>
    <w:rsid w:val="00AE70A5"/>
    <w:rsid w:val="00AF2BDB"/>
    <w:rsid w:val="00AF43A6"/>
    <w:rsid w:val="00B03794"/>
    <w:rsid w:val="00B03E21"/>
    <w:rsid w:val="00B07CB9"/>
    <w:rsid w:val="00B31D17"/>
    <w:rsid w:val="00B31E23"/>
    <w:rsid w:val="00B323BA"/>
    <w:rsid w:val="00B33866"/>
    <w:rsid w:val="00B34056"/>
    <w:rsid w:val="00B37184"/>
    <w:rsid w:val="00B5016D"/>
    <w:rsid w:val="00B51ED8"/>
    <w:rsid w:val="00B55D3D"/>
    <w:rsid w:val="00B6067C"/>
    <w:rsid w:val="00B62707"/>
    <w:rsid w:val="00B63F6D"/>
    <w:rsid w:val="00B735DB"/>
    <w:rsid w:val="00B77E87"/>
    <w:rsid w:val="00B83D96"/>
    <w:rsid w:val="00B87FF0"/>
    <w:rsid w:val="00B90000"/>
    <w:rsid w:val="00B93223"/>
    <w:rsid w:val="00B93C69"/>
    <w:rsid w:val="00B94D1F"/>
    <w:rsid w:val="00B95B99"/>
    <w:rsid w:val="00B96368"/>
    <w:rsid w:val="00BA7E30"/>
    <w:rsid w:val="00BA7E76"/>
    <w:rsid w:val="00BB0E9B"/>
    <w:rsid w:val="00BB2AE1"/>
    <w:rsid w:val="00BB3AC7"/>
    <w:rsid w:val="00BB57D7"/>
    <w:rsid w:val="00BC001E"/>
    <w:rsid w:val="00BC0D47"/>
    <w:rsid w:val="00BC1CF7"/>
    <w:rsid w:val="00BC5F16"/>
    <w:rsid w:val="00BD158E"/>
    <w:rsid w:val="00BD3999"/>
    <w:rsid w:val="00BD44A5"/>
    <w:rsid w:val="00BD4525"/>
    <w:rsid w:val="00BE379D"/>
    <w:rsid w:val="00BE37A6"/>
    <w:rsid w:val="00BE40BC"/>
    <w:rsid w:val="00BE60BA"/>
    <w:rsid w:val="00BE6EA3"/>
    <w:rsid w:val="00BF124B"/>
    <w:rsid w:val="00C11B0F"/>
    <w:rsid w:val="00C1623A"/>
    <w:rsid w:val="00C17F0D"/>
    <w:rsid w:val="00C20344"/>
    <w:rsid w:val="00C372AD"/>
    <w:rsid w:val="00C40B62"/>
    <w:rsid w:val="00C4164A"/>
    <w:rsid w:val="00C424D6"/>
    <w:rsid w:val="00C479C8"/>
    <w:rsid w:val="00C47BF6"/>
    <w:rsid w:val="00C53C06"/>
    <w:rsid w:val="00C550FE"/>
    <w:rsid w:val="00C60958"/>
    <w:rsid w:val="00C66A3C"/>
    <w:rsid w:val="00C66F3C"/>
    <w:rsid w:val="00C71D01"/>
    <w:rsid w:val="00C73CEF"/>
    <w:rsid w:val="00C82BDC"/>
    <w:rsid w:val="00C85BDD"/>
    <w:rsid w:val="00CA3782"/>
    <w:rsid w:val="00CA41E6"/>
    <w:rsid w:val="00CA5616"/>
    <w:rsid w:val="00CA5972"/>
    <w:rsid w:val="00CB380A"/>
    <w:rsid w:val="00CB3CDB"/>
    <w:rsid w:val="00CC3A3B"/>
    <w:rsid w:val="00CD0CA6"/>
    <w:rsid w:val="00CD2883"/>
    <w:rsid w:val="00CD64A4"/>
    <w:rsid w:val="00CD769B"/>
    <w:rsid w:val="00CE19EF"/>
    <w:rsid w:val="00CE2FAD"/>
    <w:rsid w:val="00CE34A3"/>
    <w:rsid w:val="00CE646C"/>
    <w:rsid w:val="00CE753B"/>
    <w:rsid w:val="00CE7740"/>
    <w:rsid w:val="00D01270"/>
    <w:rsid w:val="00D02040"/>
    <w:rsid w:val="00D15737"/>
    <w:rsid w:val="00D21A7D"/>
    <w:rsid w:val="00D2626D"/>
    <w:rsid w:val="00D308C3"/>
    <w:rsid w:val="00D320A5"/>
    <w:rsid w:val="00D353ED"/>
    <w:rsid w:val="00D37604"/>
    <w:rsid w:val="00D37B06"/>
    <w:rsid w:val="00D43735"/>
    <w:rsid w:val="00D53B6A"/>
    <w:rsid w:val="00D562B2"/>
    <w:rsid w:val="00D5747E"/>
    <w:rsid w:val="00D61EDA"/>
    <w:rsid w:val="00D64709"/>
    <w:rsid w:val="00D67953"/>
    <w:rsid w:val="00D773A8"/>
    <w:rsid w:val="00D91F48"/>
    <w:rsid w:val="00D93157"/>
    <w:rsid w:val="00D941A8"/>
    <w:rsid w:val="00D95B54"/>
    <w:rsid w:val="00D97AD5"/>
    <w:rsid w:val="00DA254B"/>
    <w:rsid w:val="00DB1D17"/>
    <w:rsid w:val="00DB7EC2"/>
    <w:rsid w:val="00DC1A64"/>
    <w:rsid w:val="00DC227A"/>
    <w:rsid w:val="00DD1CF5"/>
    <w:rsid w:val="00DD64C6"/>
    <w:rsid w:val="00DD750D"/>
    <w:rsid w:val="00DE0AA9"/>
    <w:rsid w:val="00DE1CD5"/>
    <w:rsid w:val="00DE5875"/>
    <w:rsid w:val="00DF3AF4"/>
    <w:rsid w:val="00DF4A9E"/>
    <w:rsid w:val="00E164A9"/>
    <w:rsid w:val="00E24FD5"/>
    <w:rsid w:val="00E359B4"/>
    <w:rsid w:val="00E361F7"/>
    <w:rsid w:val="00E4212D"/>
    <w:rsid w:val="00E53B4E"/>
    <w:rsid w:val="00E56625"/>
    <w:rsid w:val="00E5716C"/>
    <w:rsid w:val="00E57B91"/>
    <w:rsid w:val="00E62F79"/>
    <w:rsid w:val="00E64F06"/>
    <w:rsid w:val="00E672B3"/>
    <w:rsid w:val="00E70AE1"/>
    <w:rsid w:val="00E72040"/>
    <w:rsid w:val="00E750F5"/>
    <w:rsid w:val="00E91EB4"/>
    <w:rsid w:val="00E92CD3"/>
    <w:rsid w:val="00E93F08"/>
    <w:rsid w:val="00EA3940"/>
    <w:rsid w:val="00EB1379"/>
    <w:rsid w:val="00EB153B"/>
    <w:rsid w:val="00EB28ED"/>
    <w:rsid w:val="00EB3B23"/>
    <w:rsid w:val="00EB5759"/>
    <w:rsid w:val="00EC229C"/>
    <w:rsid w:val="00EC42D9"/>
    <w:rsid w:val="00EC4395"/>
    <w:rsid w:val="00EC7E3E"/>
    <w:rsid w:val="00ED0CF0"/>
    <w:rsid w:val="00EE166A"/>
    <w:rsid w:val="00EE23A2"/>
    <w:rsid w:val="00EE36BB"/>
    <w:rsid w:val="00EE3890"/>
    <w:rsid w:val="00EE730C"/>
    <w:rsid w:val="00EE75CA"/>
    <w:rsid w:val="00EF7D53"/>
    <w:rsid w:val="00F02F0A"/>
    <w:rsid w:val="00F034D8"/>
    <w:rsid w:val="00F04E59"/>
    <w:rsid w:val="00F05DA8"/>
    <w:rsid w:val="00F10282"/>
    <w:rsid w:val="00F13B7F"/>
    <w:rsid w:val="00F1552A"/>
    <w:rsid w:val="00F2277F"/>
    <w:rsid w:val="00F25F9E"/>
    <w:rsid w:val="00F267E3"/>
    <w:rsid w:val="00F311A0"/>
    <w:rsid w:val="00F34DE6"/>
    <w:rsid w:val="00F37C69"/>
    <w:rsid w:val="00F438AD"/>
    <w:rsid w:val="00F441E2"/>
    <w:rsid w:val="00F447AF"/>
    <w:rsid w:val="00F51ADC"/>
    <w:rsid w:val="00F55B3E"/>
    <w:rsid w:val="00F650BD"/>
    <w:rsid w:val="00F66A3C"/>
    <w:rsid w:val="00F70541"/>
    <w:rsid w:val="00F726C8"/>
    <w:rsid w:val="00F900C1"/>
    <w:rsid w:val="00F93316"/>
    <w:rsid w:val="00FA1AC3"/>
    <w:rsid w:val="00FA49CE"/>
    <w:rsid w:val="00FA6E19"/>
    <w:rsid w:val="00FA7930"/>
    <w:rsid w:val="00FB2758"/>
    <w:rsid w:val="00FB2886"/>
    <w:rsid w:val="00FB33F1"/>
    <w:rsid w:val="00FB51AC"/>
    <w:rsid w:val="00FB5EEC"/>
    <w:rsid w:val="00FB7F1E"/>
    <w:rsid w:val="00FC09BF"/>
    <w:rsid w:val="00FC31FF"/>
    <w:rsid w:val="00FD7585"/>
    <w:rsid w:val="00FE012F"/>
    <w:rsid w:val="00FE2052"/>
    <w:rsid w:val="00FE620F"/>
    <w:rsid w:val="00FE6E3C"/>
    <w:rsid w:val="00FF405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22264C"/>
  </w:style>
  <w:style w:type="paragraph" w:styleId="Kop1">
    <w:name w:val="heading 1"/>
    <w:basedOn w:val="Normaal"/>
    <w:next w:val="Normaal"/>
    <w:link w:val="Kop1Teken"/>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Normaal"/>
    <w:next w:val="Normaal"/>
    <w:link w:val="Kop2Teken"/>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Normaal"/>
    <w:next w:val="Normaal"/>
    <w:link w:val="Kop3Teken"/>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Normaal"/>
    <w:next w:val="Normaal"/>
    <w:link w:val="Kop4Teken"/>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Normaal"/>
    <w:next w:val="Normaal"/>
    <w:link w:val="Kop5Teken"/>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Normaal"/>
    <w:next w:val="Normaal"/>
    <w:link w:val="Kop6Teken"/>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Normaal"/>
    <w:next w:val="Normaal"/>
    <w:link w:val="Kop7Teken"/>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Normaal"/>
    <w:next w:val="Normaal"/>
    <w:link w:val="Kop8Teken"/>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Normaal"/>
    <w:next w:val="Normaal"/>
    <w:link w:val="Kop9Teken"/>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1"/>
    <w:uiPriority w:val="99"/>
    <w:unhideWhenUsed/>
    <w:rsid w:val="0038425A"/>
    <w:pPr>
      <w:spacing w:after="0" w:line="240" w:lineRule="auto"/>
    </w:pPr>
    <w:rPr>
      <w:rFonts w:ascii="Tahoma" w:hAnsi="Tahoma" w:cs="Tahoma"/>
      <w:sz w:val="16"/>
      <w:szCs w:val="16"/>
    </w:rPr>
  </w:style>
  <w:style w:type="character" w:customStyle="1" w:styleId="BallontekstTeken">
    <w:name w:val="Ballontekst Teken"/>
    <w:basedOn w:val="Standaardalinea-lettertype"/>
    <w:uiPriority w:val="99"/>
    <w:semiHidden/>
    <w:rsid w:val="0095383D"/>
    <w:rPr>
      <w:rFonts w:ascii="Lucida Grande" w:hAnsi="Lucida Grande"/>
      <w:sz w:val="18"/>
      <w:szCs w:val="18"/>
    </w:rPr>
  </w:style>
  <w:style w:type="character" w:customStyle="1" w:styleId="BallontekstTeken0">
    <w:name w:val="Ballontekst Teken"/>
    <w:basedOn w:val="Standaardalinea-lettertype"/>
    <w:uiPriority w:val="99"/>
    <w:semiHidden/>
    <w:rsid w:val="0095383D"/>
    <w:rPr>
      <w:rFonts w:ascii="Lucida Grande" w:hAnsi="Lucida Grande"/>
      <w:sz w:val="18"/>
      <w:szCs w:val="18"/>
    </w:rPr>
  </w:style>
  <w:style w:type="character" w:customStyle="1" w:styleId="BallontekstTeken2">
    <w:name w:val="Ballontekst Teken"/>
    <w:basedOn w:val="Standaardalinea-lettertype"/>
    <w:uiPriority w:val="99"/>
    <w:semiHidden/>
    <w:rsid w:val="0095383D"/>
    <w:rPr>
      <w:rFonts w:ascii="Lucida Grande" w:hAnsi="Lucida Grande"/>
      <w:sz w:val="18"/>
      <w:szCs w:val="18"/>
    </w:rPr>
  </w:style>
  <w:style w:type="character" w:customStyle="1" w:styleId="BallontekstTeken3">
    <w:name w:val="Ballontekst Teken"/>
    <w:basedOn w:val="Standaardalinea-lettertype"/>
    <w:uiPriority w:val="99"/>
    <w:semiHidden/>
    <w:rsid w:val="0095383D"/>
    <w:rPr>
      <w:rFonts w:ascii="Lucida Grande" w:hAnsi="Lucida Grande"/>
      <w:sz w:val="18"/>
      <w:szCs w:val="18"/>
    </w:rPr>
  </w:style>
  <w:style w:type="character" w:customStyle="1" w:styleId="BallontekstTeken4">
    <w:name w:val="Ballontekst Teken"/>
    <w:basedOn w:val="Standaardalinea-lettertype"/>
    <w:uiPriority w:val="99"/>
    <w:semiHidden/>
    <w:rsid w:val="0095383D"/>
    <w:rPr>
      <w:rFonts w:ascii="Lucida Grande" w:hAnsi="Lucida Grande"/>
      <w:sz w:val="18"/>
      <w:szCs w:val="18"/>
    </w:rPr>
  </w:style>
  <w:style w:type="character" w:customStyle="1" w:styleId="BallontekstTeken5">
    <w:name w:val="Ballontekst Teken"/>
    <w:basedOn w:val="Standaardalinea-lettertype"/>
    <w:uiPriority w:val="99"/>
    <w:semiHidden/>
    <w:rsid w:val="0095383D"/>
    <w:rPr>
      <w:rFonts w:ascii="Lucida Grande" w:hAnsi="Lucida Grande"/>
      <w:sz w:val="18"/>
      <w:szCs w:val="18"/>
    </w:rPr>
  </w:style>
  <w:style w:type="character" w:customStyle="1" w:styleId="BallontekstTeken6">
    <w:name w:val="Ballontekst Teken"/>
    <w:basedOn w:val="Standaardalinea-lettertype"/>
    <w:uiPriority w:val="99"/>
    <w:semiHidden/>
    <w:rsid w:val="0095383D"/>
    <w:rPr>
      <w:rFonts w:ascii="Lucida Grande" w:hAnsi="Lucida Grande"/>
      <w:sz w:val="18"/>
      <w:szCs w:val="18"/>
    </w:rPr>
  </w:style>
  <w:style w:type="character" w:customStyle="1" w:styleId="BallontekstTeken7">
    <w:name w:val="Ballontekst Teken"/>
    <w:basedOn w:val="Standaardalinea-lettertype"/>
    <w:uiPriority w:val="99"/>
    <w:semiHidden/>
    <w:rsid w:val="0095383D"/>
    <w:rPr>
      <w:rFonts w:ascii="Lucida Grande" w:hAnsi="Lucida Grande"/>
      <w:sz w:val="18"/>
      <w:szCs w:val="18"/>
    </w:rPr>
  </w:style>
  <w:style w:type="character" w:customStyle="1" w:styleId="BallontekstTeken8">
    <w:name w:val="Ballontekst Teken"/>
    <w:basedOn w:val="Standaardalinea-lettertype"/>
    <w:uiPriority w:val="99"/>
    <w:semiHidden/>
    <w:rsid w:val="00D32F94"/>
    <w:rPr>
      <w:rFonts w:ascii="Lucida Grande" w:hAnsi="Lucida Grande"/>
      <w:sz w:val="18"/>
      <w:szCs w:val="18"/>
    </w:rPr>
  </w:style>
  <w:style w:type="character" w:customStyle="1" w:styleId="BallontekstTeken9">
    <w:name w:val="Ballontekst Teken"/>
    <w:basedOn w:val="Standaardalinea-lettertype"/>
    <w:uiPriority w:val="99"/>
    <w:semiHidden/>
    <w:rsid w:val="00D32F94"/>
    <w:rPr>
      <w:rFonts w:ascii="Lucida Grande" w:hAnsi="Lucida Grande"/>
      <w:sz w:val="18"/>
      <w:szCs w:val="18"/>
    </w:rPr>
  </w:style>
  <w:style w:type="character" w:customStyle="1" w:styleId="BallontekstTekena">
    <w:name w:val="Ballontekst Teken"/>
    <w:basedOn w:val="Standaardalinea-lettertype"/>
    <w:uiPriority w:val="99"/>
    <w:semiHidden/>
    <w:rsid w:val="00017CB9"/>
    <w:rPr>
      <w:rFonts w:ascii="Lucida Grande" w:hAnsi="Lucida Grande"/>
      <w:sz w:val="18"/>
      <w:szCs w:val="18"/>
    </w:rPr>
  </w:style>
  <w:style w:type="character" w:customStyle="1" w:styleId="BallontekstTekenb">
    <w:name w:val="Ballontekst Teken"/>
    <w:basedOn w:val="Standaardalinea-lettertype"/>
    <w:uiPriority w:val="99"/>
    <w:semiHidden/>
    <w:rsid w:val="00017CB9"/>
    <w:rPr>
      <w:rFonts w:ascii="Lucida Grande" w:hAnsi="Lucida Grande"/>
      <w:sz w:val="18"/>
      <w:szCs w:val="18"/>
    </w:rPr>
  </w:style>
  <w:style w:type="character" w:customStyle="1" w:styleId="BallontekstTekenc">
    <w:name w:val="Ballontekst Teken"/>
    <w:basedOn w:val="Standaardalinea-lettertype"/>
    <w:uiPriority w:val="99"/>
    <w:semiHidden/>
    <w:rsid w:val="00017CB9"/>
    <w:rPr>
      <w:rFonts w:ascii="Lucida Grande" w:hAnsi="Lucida Grande"/>
      <w:sz w:val="18"/>
      <w:szCs w:val="18"/>
    </w:rPr>
  </w:style>
  <w:style w:type="character" w:customStyle="1" w:styleId="BallontekstTekend">
    <w:name w:val="Ballontekst Teken"/>
    <w:basedOn w:val="Standaardalinea-lettertype"/>
    <w:uiPriority w:val="99"/>
    <w:semiHidden/>
    <w:rsid w:val="00017CB9"/>
    <w:rPr>
      <w:rFonts w:ascii="Lucida Grande" w:hAnsi="Lucida Grande"/>
      <w:sz w:val="18"/>
      <w:szCs w:val="18"/>
    </w:rPr>
  </w:style>
  <w:style w:type="character" w:customStyle="1" w:styleId="BallontekstTekene">
    <w:name w:val="Ballontekst Teken"/>
    <w:basedOn w:val="Standaardalinea-lettertype"/>
    <w:uiPriority w:val="99"/>
    <w:semiHidden/>
    <w:rsid w:val="00017CB9"/>
    <w:rPr>
      <w:rFonts w:ascii="Lucida Grande" w:hAnsi="Lucida Grande"/>
      <w:sz w:val="18"/>
      <w:szCs w:val="18"/>
    </w:rPr>
  </w:style>
  <w:style w:type="character" w:customStyle="1" w:styleId="BallontekstTekenf">
    <w:name w:val="Ballontekst Teken"/>
    <w:basedOn w:val="Standaardalinea-lettertype"/>
    <w:uiPriority w:val="99"/>
    <w:semiHidden/>
    <w:rsid w:val="00017CB9"/>
    <w:rPr>
      <w:rFonts w:ascii="Lucida Grande" w:hAnsi="Lucida Grande"/>
      <w:sz w:val="18"/>
      <w:szCs w:val="18"/>
    </w:rPr>
  </w:style>
  <w:style w:type="character" w:customStyle="1" w:styleId="BallontekstTekenf0">
    <w:name w:val="Ballontekst Teken"/>
    <w:basedOn w:val="Standaardalinea-lettertype"/>
    <w:uiPriority w:val="99"/>
    <w:semiHidden/>
    <w:rsid w:val="00017CB9"/>
    <w:rPr>
      <w:rFonts w:ascii="Lucida Grande" w:hAnsi="Lucida Grande"/>
      <w:sz w:val="18"/>
      <w:szCs w:val="18"/>
    </w:rPr>
  </w:style>
  <w:style w:type="character" w:customStyle="1" w:styleId="BallontekstTekenf1">
    <w:name w:val="Ballontekst Teken"/>
    <w:basedOn w:val="Standaardalinea-lettertype"/>
    <w:uiPriority w:val="99"/>
    <w:semiHidden/>
    <w:rsid w:val="00263934"/>
    <w:rPr>
      <w:rFonts w:ascii="Lucida Grande" w:hAnsi="Lucida Grande"/>
      <w:sz w:val="18"/>
      <w:szCs w:val="18"/>
    </w:rPr>
  </w:style>
  <w:style w:type="character" w:customStyle="1" w:styleId="BallontekstTekenf2">
    <w:name w:val="Ballontekst Teken"/>
    <w:basedOn w:val="Standaardalinea-lettertype"/>
    <w:uiPriority w:val="99"/>
    <w:semiHidden/>
    <w:rsid w:val="00000E95"/>
    <w:rPr>
      <w:rFonts w:ascii="Lucida Grande" w:hAnsi="Lucida Grande"/>
      <w:sz w:val="18"/>
      <w:szCs w:val="18"/>
    </w:rPr>
  </w:style>
  <w:style w:type="character" w:customStyle="1" w:styleId="BallontekstTekenf3">
    <w:name w:val="Ballontekst Teken"/>
    <w:basedOn w:val="Standaardalinea-lettertype"/>
    <w:uiPriority w:val="99"/>
    <w:semiHidden/>
    <w:rsid w:val="00000E95"/>
    <w:rPr>
      <w:rFonts w:ascii="Lucida Grande" w:hAnsi="Lucida Grande"/>
      <w:sz w:val="18"/>
      <w:szCs w:val="18"/>
    </w:rPr>
  </w:style>
  <w:style w:type="character" w:customStyle="1" w:styleId="BallontekstTekenf4">
    <w:name w:val="Ballontekst Teken"/>
    <w:basedOn w:val="Standaardalinea-lettertype"/>
    <w:uiPriority w:val="99"/>
    <w:semiHidden/>
    <w:rsid w:val="00000E95"/>
    <w:rPr>
      <w:rFonts w:ascii="Lucida Grande" w:hAnsi="Lucida Grande"/>
      <w:sz w:val="18"/>
      <w:szCs w:val="18"/>
    </w:rPr>
  </w:style>
  <w:style w:type="character" w:customStyle="1" w:styleId="BallontekstTekenf5">
    <w:name w:val="Ballontekst Teken"/>
    <w:basedOn w:val="Standaardalinea-lettertype"/>
    <w:uiPriority w:val="99"/>
    <w:semiHidden/>
    <w:rsid w:val="00000E95"/>
    <w:rPr>
      <w:rFonts w:ascii="Lucida Grande" w:hAnsi="Lucida Grande"/>
      <w:sz w:val="18"/>
      <w:szCs w:val="18"/>
    </w:rPr>
  </w:style>
  <w:style w:type="character" w:customStyle="1" w:styleId="BallontekstTekenf6">
    <w:name w:val="Ballontekst Teken"/>
    <w:basedOn w:val="Standaardalinea-lettertype"/>
    <w:uiPriority w:val="99"/>
    <w:semiHidden/>
    <w:rsid w:val="00000E95"/>
    <w:rPr>
      <w:rFonts w:ascii="Lucida Grande" w:hAnsi="Lucida Grande"/>
      <w:sz w:val="18"/>
      <w:szCs w:val="18"/>
    </w:rPr>
  </w:style>
  <w:style w:type="character" w:customStyle="1" w:styleId="BallontekstTekenf7">
    <w:name w:val="Ballontekst Teken"/>
    <w:basedOn w:val="Standaardalinea-lettertype"/>
    <w:uiPriority w:val="99"/>
    <w:semiHidden/>
    <w:rsid w:val="00000E95"/>
    <w:rPr>
      <w:rFonts w:ascii="Lucida Grande" w:hAnsi="Lucida Grande"/>
      <w:sz w:val="18"/>
      <w:szCs w:val="18"/>
    </w:rPr>
  </w:style>
  <w:style w:type="character" w:customStyle="1" w:styleId="BallontekstTekenf8">
    <w:name w:val="Ballontekst Teken"/>
    <w:basedOn w:val="Standaardalinea-lettertype"/>
    <w:uiPriority w:val="99"/>
    <w:semiHidden/>
    <w:rsid w:val="00000E95"/>
    <w:rPr>
      <w:rFonts w:ascii="Lucida Grande" w:hAnsi="Lucida Grande"/>
      <w:sz w:val="18"/>
      <w:szCs w:val="18"/>
    </w:rPr>
  </w:style>
  <w:style w:type="character" w:customStyle="1" w:styleId="BallontekstTekenf9">
    <w:name w:val="Ballontekst Teken"/>
    <w:basedOn w:val="Standaardalinea-lettertype"/>
    <w:uiPriority w:val="99"/>
    <w:semiHidden/>
    <w:rsid w:val="00000E95"/>
    <w:rPr>
      <w:rFonts w:ascii="Lucida Grande" w:hAnsi="Lucida Grande"/>
      <w:sz w:val="18"/>
      <w:szCs w:val="18"/>
    </w:rPr>
  </w:style>
  <w:style w:type="character" w:customStyle="1" w:styleId="BallontekstTekenfa">
    <w:name w:val="Ballontekst Teken"/>
    <w:basedOn w:val="Standaardalinea-lettertype"/>
    <w:uiPriority w:val="99"/>
    <w:semiHidden/>
    <w:rsid w:val="00000E95"/>
    <w:rPr>
      <w:rFonts w:ascii="Lucida Grande" w:hAnsi="Lucida Grande"/>
      <w:sz w:val="18"/>
      <w:szCs w:val="18"/>
    </w:rPr>
  </w:style>
  <w:style w:type="character" w:customStyle="1" w:styleId="BallontekstTekenfb">
    <w:name w:val="Ballontekst Teken"/>
    <w:basedOn w:val="Standaardalinea-lettertype"/>
    <w:uiPriority w:val="99"/>
    <w:semiHidden/>
    <w:rsid w:val="0027435F"/>
    <w:rPr>
      <w:rFonts w:ascii="Lucida Grande" w:hAnsi="Lucida Grande"/>
      <w:sz w:val="18"/>
      <w:szCs w:val="18"/>
    </w:rPr>
  </w:style>
  <w:style w:type="character" w:customStyle="1" w:styleId="Kop1Teken">
    <w:name w:val="Kop 1 Teken"/>
    <w:basedOn w:val="Standaardalinea-lettertype"/>
    <w:link w:val="Kop1"/>
    <w:rsid w:val="0038425A"/>
    <w:rPr>
      <w:rFonts w:asciiTheme="majorHAnsi" w:eastAsiaTheme="majorEastAsia" w:hAnsiTheme="majorHAnsi" w:cstheme="majorBidi"/>
      <w:b/>
      <w:bCs/>
      <w:color w:val="CC0068"/>
      <w:sz w:val="32"/>
      <w:szCs w:val="28"/>
    </w:rPr>
  </w:style>
  <w:style w:type="character" w:customStyle="1" w:styleId="Kop2Teken">
    <w:name w:val="Kop 2 Teken"/>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Teken">
    <w:name w:val="Kop 3 Teken"/>
    <w:basedOn w:val="Standaardalinea-lettertype"/>
    <w:link w:val="Kop3"/>
    <w:rsid w:val="0038425A"/>
    <w:rPr>
      <w:rFonts w:asciiTheme="majorHAnsi" w:eastAsiaTheme="majorEastAsia" w:hAnsiTheme="majorHAnsi" w:cstheme="majorBidi"/>
      <w:b/>
      <w:bCs/>
      <w:color w:val="DA5C21"/>
    </w:rPr>
  </w:style>
  <w:style w:type="character" w:customStyle="1" w:styleId="Kop4Teken">
    <w:name w:val="Kop 4 Teken"/>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Teken">
    <w:name w:val="Kop 5 Teken"/>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Teken">
    <w:name w:val="Kop 6 Teken"/>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Teken">
    <w:name w:val="Kop 7 Teken"/>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Teken">
    <w:name w:val="Kop 8 Teken"/>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Teken">
    <w:name w:val="Kop 9 Teken"/>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Normaal"/>
    <w:next w:val="Normaal"/>
    <w:link w:val="TitelTeken"/>
    <w:uiPriority w:val="10"/>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Teken">
    <w:name w:val="Titel Teken"/>
    <w:basedOn w:val="Standaardalinea-lettertype"/>
    <w:link w:val="Titel"/>
    <w:uiPriority w:val="10"/>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20"/>
    <w:qFormat/>
    <w:rsid w:val="0038425A"/>
    <w:rPr>
      <w:rFonts w:ascii="Verdana" w:hAnsi="Verdana"/>
      <w:i/>
      <w:iCs/>
      <w:color w:val="DA5C21"/>
      <w:sz w:val="32"/>
    </w:rPr>
  </w:style>
  <w:style w:type="paragraph" w:styleId="Koptekst">
    <w:name w:val="header"/>
    <w:basedOn w:val="Normaal"/>
    <w:link w:val="KoptekstTeken"/>
    <w:uiPriority w:val="99"/>
    <w:unhideWhenUsed/>
    <w:rsid w:val="0038425A"/>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38425A"/>
  </w:style>
  <w:style w:type="paragraph" w:styleId="Voettekst">
    <w:name w:val="footer"/>
    <w:basedOn w:val="Normaal"/>
    <w:link w:val="VoettekstTeken"/>
    <w:uiPriority w:val="99"/>
    <w:unhideWhenUsed/>
    <w:rsid w:val="0038425A"/>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38425A"/>
  </w:style>
  <w:style w:type="character" w:customStyle="1" w:styleId="BallontekstTeken1">
    <w:name w:val="Ballontekst Teken1"/>
    <w:basedOn w:val="Standaardalinea-lettertype"/>
    <w:link w:val="Ballontekst"/>
    <w:rsid w:val="0038425A"/>
    <w:rPr>
      <w:rFonts w:ascii="Tahoma" w:hAnsi="Tahoma" w:cs="Tahoma"/>
      <w:sz w:val="16"/>
      <w:szCs w:val="16"/>
    </w:rPr>
  </w:style>
  <w:style w:type="paragraph" w:styleId="Kopvaninhoudsopgave">
    <w:name w:val="TOC Heading"/>
    <w:basedOn w:val="Kop1"/>
    <w:next w:val="Normaal"/>
    <w:uiPriority w:val="39"/>
    <w:unhideWhenUsed/>
    <w:qFormat/>
    <w:rsid w:val="0038425A"/>
    <w:pPr>
      <w:numPr>
        <w:numId w:val="0"/>
      </w:numPr>
      <w:outlineLvl w:val="9"/>
    </w:pPr>
    <w:rPr>
      <w:color w:val="365F91" w:themeColor="accent1" w:themeShade="BF"/>
      <w:sz w:val="28"/>
    </w:rPr>
  </w:style>
  <w:style w:type="paragraph" w:styleId="Inhopg1">
    <w:name w:val="toc 1"/>
    <w:basedOn w:val="Normaal"/>
    <w:next w:val="Normaal"/>
    <w:autoRedefine/>
    <w:uiPriority w:val="39"/>
    <w:unhideWhenUsed/>
    <w:rsid w:val="0038425A"/>
    <w:pPr>
      <w:spacing w:after="100"/>
    </w:pPr>
  </w:style>
  <w:style w:type="paragraph" w:styleId="Inhopg2">
    <w:name w:val="toc 2"/>
    <w:basedOn w:val="Normaal"/>
    <w:next w:val="Normaal"/>
    <w:autoRedefine/>
    <w:uiPriority w:val="39"/>
    <w:unhideWhenUsed/>
    <w:rsid w:val="0038425A"/>
    <w:pPr>
      <w:spacing w:after="100"/>
      <w:ind w:left="220"/>
    </w:pPr>
  </w:style>
  <w:style w:type="paragraph" w:styleId="Inhopg3">
    <w:name w:val="toc 3"/>
    <w:basedOn w:val="Normaal"/>
    <w:next w:val="Normaal"/>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character" w:styleId="Paginanummer">
    <w:name w:val="page number"/>
    <w:basedOn w:val="Standaardalinea-lettertype"/>
    <w:uiPriority w:val="99"/>
    <w:semiHidden/>
    <w:unhideWhenUsed/>
    <w:rsid w:val="00683684"/>
  </w:style>
  <w:style w:type="paragraph" w:styleId="Lijstalinea">
    <w:name w:val="List Paragraph"/>
    <w:basedOn w:val="Normaal"/>
    <w:uiPriority w:val="34"/>
    <w:qFormat/>
    <w:rsid w:val="00683684"/>
    <w:pPr>
      <w:spacing w:after="0" w:line="240" w:lineRule="auto"/>
      <w:ind w:left="720"/>
      <w:contextualSpacing/>
    </w:pPr>
    <w:rPr>
      <w:sz w:val="24"/>
      <w:szCs w:val="24"/>
    </w:rPr>
  </w:style>
  <w:style w:type="character" w:styleId="Verwijzingopmerking">
    <w:name w:val="annotation reference"/>
    <w:basedOn w:val="Standaardalinea-lettertype"/>
    <w:rsid w:val="00683684"/>
    <w:rPr>
      <w:sz w:val="16"/>
      <w:szCs w:val="16"/>
    </w:rPr>
  </w:style>
  <w:style w:type="paragraph" w:styleId="Tekstopmerking">
    <w:name w:val="annotation text"/>
    <w:basedOn w:val="Normaal"/>
    <w:link w:val="TekstopmerkingTeken"/>
    <w:rsid w:val="00683684"/>
    <w:pPr>
      <w:spacing w:after="0" w:line="240" w:lineRule="auto"/>
    </w:pPr>
    <w:rPr>
      <w:sz w:val="20"/>
      <w:szCs w:val="20"/>
    </w:rPr>
  </w:style>
  <w:style w:type="character" w:customStyle="1" w:styleId="TekstopmerkingTeken">
    <w:name w:val="Tekst opmerking Teken"/>
    <w:basedOn w:val="Standaardalinea-lettertype"/>
    <w:link w:val="Tekstopmerking"/>
    <w:rsid w:val="00683684"/>
    <w:rPr>
      <w:sz w:val="20"/>
      <w:szCs w:val="20"/>
    </w:rPr>
  </w:style>
  <w:style w:type="paragraph" w:styleId="Onderwerpvanopmerking">
    <w:name w:val="annotation subject"/>
    <w:basedOn w:val="Tekstopmerking"/>
    <w:next w:val="Tekstopmerking"/>
    <w:link w:val="OnderwerpvanopmerkingTeken"/>
    <w:rsid w:val="00683684"/>
    <w:rPr>
      <w:b/>
      <w:bCs/>
    </w:rPr>
  </w:style>
  <w:style w:type="character" w:customStyle="1" w:styleId="OnderwerpvanopmerkingTeken">
    <w:name w:val="Onderwerp van opmerking Teken"/>
    <w:basedOn w:val="TekstopmerkingTeken"/>
    <w:link w:val="Onderwerpvanopmerking"/>
    <w:rsid w:val="00683684"/>
    <w:rPr>
      <w:b/>
      <w:bCs/>
      <w:sz w:val="20"/>
      <w:szCs w:val="20"/>
    </w:rPr>
  </w:style>
  <w:style w:type="table" w:styleId="Tabelraster">
    <w:name w:val="Table Grid"/>
    <w:basedOn w:val="Standaardtabel"/>
    <w:rsid w:val="00683684"/>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oetnoottekst">
    <w:name w:val="footnote text"/>
    <w:basedOn w:val="Normaal"/>
    <w:link w:val="VoetnoottekstTeken"/>
    <w:rsid w:val="00683684"/>
    <w:pPr>
      <w:spacing w:after="0" w:line="240" w:lineRule="auto"/>
    </w:pPr>
    <w:rPr>
      <w:sz w:val="24"/>
      <w:szCs w:val="24"/>
    </w:rPr>
  </w:style>
  <w:style w:type="character" w:customStyle="1" w:styleId="VoetnoottekstTeken">
    <w:name w:val="Voetnoottekst Teken"/>
    <w:basedOn w:val="Standaardalinea-lettertype"/>
    <w:link w:val="Voetnoottekst"/>
    <w:rsid w:val="00683684"/>
    <w:rPr>
      <w:sz w:val="24"/>
      <w:szCs w:val="24"/>
    </w:rPr>
  </w:style>
  <w:style w:type="character" w:styleId="Voetnootmarkering">
    <w:name w:val="footnote reference"/>
    <w:basedOn w:val="Standaardalinea-lettertype"/>
    <w:rsid w:val="00683684"/>
    <w:rPr>
      <w:vertAlign w:val="superscript"/>
    </w:rPr>
  </w:style>
  <w:style w:type="paragraph" w:styleId="Index1">
    <w:name w:val="index 1"/>
    <w:basedOn w:val="Normaal"/>
    <w:next w:val="Normaal"/>
    <w:autoRedefine/>
    <w:uiPriority w:val="99"/>
    <w:rsid w:val="00683684"/>
    <w:pPr>
      <w:spacing w:after="0" w:line="240" w:lineRule="auto"/>
      <w:ind w:left="240" w:hanging="240"/>
    </w:pPr>
    <w:rPr>
      <w:sz w:val="24"/>
      <w:szCs w:val="24"/>
    </w:rPr>
  </w:style>
  <w:style w:type="paragraph" w:styleId="Inhopg4">
    <w:name w:val="toc 4"/>
    <w:basedOn w:val="Normaal"/>
    <w:next w:val="Normaal"/>
    <w:autoRedefine/>
    <w:uiPriority w:val="39"/>
    <w:rsid w:val="00683684"/>
    <w:pPr>
      <w:spacing w:after="0" w:line="240" w:lineRule="auto"/>
    </w:pPr>
  </w:style>
  <w:style w:type="paragraph" w:styleId="Inhopg5">
    <w:name w:val="toc 5"/>
    <w:basedOn w:val="Normaal"/>
    <w:next w:val="Normaal"/>
    <w:autoRedefine/>
    <w:uiPriority w:val="39"/>
    <w:rsid w:val="00683684"/>
    <w:pPr>
      <w:spacing w:after="0" w:line="240" w:lineRule="auto"/>
    </w:pPr>
  </w:style>
  <w:style w:type="paragraph" w:styleId="Inhopg6">
    <w:name w:val="toc 6"/>
    <w:basedOn w:val="Normaal"/>
    <w:next w:val="Normaal"/>
    <w:autoRedefine/>
    <w:uiPriority w:val="39"/>
    <w:rsid w:val="00683684"/>
    <w:pPr>
      <w:spacing w:after="0" w:line="240" w:lineRule="auto"/>
    </w:pPr>
  </w:style>
  <w:style w:type="paragraph" w:styleId="Inhopg7">
    <w:name w:val="toc 7"/>
    <w:basedOn w:val="Normaal"/>
    <w:next w:val="Normaal"/>
    <w:autoRedefine/>
    <w:uiPriority w:val="39"/>
    <w:rsid w:val="00683684"/>
    <w:pPr>
      <w:spacing w:after="0" w:line="240" w:lineRule="auto"/>
    </w:pPr>
  </w:style>
  <w:style w:type="paragraph" w:styleId="Inhopg8">
    <w:name w:val="toc 8"/>
    <w:basedOn w:val="Normaal"/>
    <w:next w:val="Normaal"/>
    <w:autoRedefine/>
    <w:uiPriority w:val="39"/>
    <w:rsid w:val="00683684"/>
    <w:pPr>
      <w:spacing w:after="0" w:line="240" w:lineRule="auto"/>
    </w:pPr>
  </w:style>
  <w:style w:type="paragraph" w:styleId="Inhopg9">
    <w:name w:val="toc 9"/>
    <w:basedOn w:val="Normaal"/>
    <w:next w:val="Normaal"/>
    <w:autoRedefine/>
    <w:uiPriority w:val="39"/>
    <w:rsid w:val="00683684"/>
    <w:pPr>
      <w:spacing w:after="0" w:line="240" w:lineRule="auto"/>
    </w:pPr>
  </w:style>
  <w:style w:type="character" w:styleId="GevolgdeHyperlink">
    <w:name w:val="FollowedHyperlink"/>
    <w:basedOn w:val="Standaardalinea-lettertype"/>
    <w:uiPriority w:val="99"/>
    <w:semiHidden/>
    <w:unhideWhenUsed/>
    <w:rsid w:val="00C6095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22264C"/>
  </w:style>
  <w:style w:type="paragraph" w:styleId="Kop1">
    <w:name w:val="heading 1"/>
    <w:basedOn w:val="Normaal"/>
    <w:next w:val="Normaal"/>
    <w:link w:val="Kop1Teken"/>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Normaal"/>
    <w:next w:val="Normaal"/>
    <w:link w:val="Kop2Teken"/>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Normaal"/>
    <w:next w:val="Normaal"/>
    <w:link w:val="Kop3Teken"/>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Normaal"/>
    <w:next w:val="Normaal"/>
    <w:link w:val="Kop4Teken"/>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Normaal"/>
    <w:next w:val="Normaal"/>
    <w:link w:val="Kop5Teken"/>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Normaal"/>
    <w:next w:val="Normaal"/>
    <w:link w:val="Kop6Teken"/>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Normaal"/>
    <w:next w:val="Normaal"/>
    <w:link w:val="Kop7Teken"/>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Normaal"/>
    <w:next w:val="Normaal"/>
    <w:link w:val="Kop8Teken"/>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Normaal"/>
    <w:next w:val="Normaal"/>
    <w:link w:val="Kop9Teken"/>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1"/>
    <w:uiPriority w:val="99"/>
    <w:unhideWhenUsed/>
    <w:rsid w:val="0038425A"/>
    <w:pPr>
      <w:spacing w:after="0" w:line="240" w:lineRule="auto"/>
    </w:pPr>
    <w:rPr>
      <w:rFonts w:ascii="Tahoma" w:hAnsi="Tahoma" w:cs="Tahoma"/>
      <w:sz w:val="16"/>
      <w:szCs w:val="16"/>
    </w:rPr>
  </w:style>
  <w:style w:type="character" w:customStyle="1" w:styleId="BallontekstTeken">
    <w:name w:val="Ballontekst Teken"/>
    <w:basedOn w:val="Standaardalinea-lettertype"/>
    <w:uiPriority w:val="99"/>
    <w:semiHidden/>
    <w:rsid w:val="0095383D"/>
    <w:rPr>
      <w:rFonts w:ascii="Lucida Grande" w:hAnsi="Lucida Grande"/>
      <w:sz w:val="18"/>
      <w:szCs w:val="18"/>
    </w:rPr>
  </w:style>
  <w:style w:type="character" w:customStyle="1" w:styleId="BallontekstTeken0">
    <w:name w:val="Ballontekst Teken"/>
    <w:basedOn w:val="Standaardalinea-lettertype"/>
    <w:uiPriority w:val="99"/>
    <w:semiHidden/>
    <w:rsid w:val="0095383D"/>
    <w:rPr>
      <w:rFonts w:ascii="Lucida Grande" w:hAnsi="Lucida Grande"/>
      <w:sz w:val="18"/>
      <w:szCs w:val="18"/>
    </w:rPr>
  </w:style>
  <w:style w:type="character" w:customStyle="1" w:styleId="BallontekstTeken2">
    <w:name w:val="Ballontekst Teken"/>
    <w:basedOn w:val="Standaardalinea-lettertype"/>
    <w:uiPriority w:val="99"/>
    <w:semiHidden/>
    <w:rsid w:val="0095383D"/>
    <w:rPr>
      <w:rFonts w:ascii="Lucida Grande" w:hAnsi="Lucida Grande"/>
      <w:sz w:val="18"/>
      <w:szCs w:val="18"/>
    </w:rPr>
  </w:style>
  <w:style w:type="character" w:customStyle="1" w:styleId="BallontekstTeken3">
    <w:name w:val="Ballontekst Teken"/>
    <w:basedOn w:val="Standaardalinea-lettertype"/>
    <w:uiPriority w:val="99"/>
    <w:semiHidden/>
    <w:rsid w:val="0095383D"/>
    <w:rPr>
      <w:rFonts w:ascii="Lucida Grande" w:hAnsi="Lucida Grande"/>
      <w:sz w:val="18"/>
      <w:szCs w:val="18"/>
    </w:rPr>
  </w:style>
  <w:style w:type="character" w:customStyle="1" w:styleId="BallontekstTeken4">
    <w:name w:val="Ballontekst Teken"/>
    <w:basedOn w:val="Standaardalinea-lettertype"/>
    <w:uiPriority w:val="99"/>
    <w:semiHidden/>
    <w:rsid w:val="0095383D"/>
    <w:rPr>
      <w:rFonts w:ascii="Lucida Grande" w:hAnsi="Lucida Grande"/>
      <w:sz w:val="18"/>
      <w:szCs w:val="18"/>
    </w:rPr>
  </w:style>
  <w:style w:type="character" w:customStyle="1" w:styleId="BallontekstTeken5">
    <w:name w:val="Ballontekst Teken"/>
    <w:basedOn w:val="Standaardalinea-lettertype"/>
    <w:uiPriority w:val="99"/>
    <w:semiHidden/>
    <w:rsid w:val="0095383D"/>
    <w:rPr>
      <w:rFonts w:ascii="Lucida Grande" w:hAnsi="Lucida Grande"/>
      <w:sz w:val="18"/>
      <w:szCs w:val="18"/>
    </w:rPr>
  </w:style>
  <w:style w:type="character" w:customStyle="1" w:styleId="BallontekstTeken6">
    <w:name w:val="Ballontekst Teken"/>
    <w:basedOn w:val="Standaardalinea-lettertype"/>
    <w:uiPriority w:val="99"/>
    <w:semiHidden/>
    <w:rsid w:val="0095383D"/>
    <w:rPr>
      <w:rFonts w:ascii="Lucida Grande" w:hAnsi="Lucida Grande"/>
      <w:sz w:val="18"/>
      <w:szCs w:val="18"/>
    </w:rPr>
  </w:style>
  <w:style w:type="character" w:customStyle="1" w:styleId="BallontekstTeken7">
    <w:name w:val="Ballontekst Teken"/>
    <w:basedOn w:val="Standaardalinea-lettertype"/>
    <w:uiPriority w:val="99"/>
    <w:semiHidden/>
    <w:rsid w:val="0095383D"/>
    <w:rPr>
      <w:rFonts w:ascii="Lucida Grande" w:hAnsi="Lucida Grande"/>
      <w:sz w:val="18"/>
      <w:szCs w:val="18"/>
    </w:rPr>
  </w:style>
  <w:style w:type="character" w:customStyle="1" w:styleId="BallontekstTeken8">
    <w:name w:val="Ballontekst Teken"/>
    <w:basedOn w:val="Standaardalinea-lettertype"/>
    <w:uiPriority w:val="99"/>
    <w:semiHidden/>
    <w:rsid w:val="00D32F94"/>
    <w:rPr>
      <w:rFonts w:ascii="Lucida Grande" w:hAnsi="Lucida Grande"/>
      <w:sz w:val="18"/>
      <w:szCs w:val="18"/>
    </w:rPr>
  </w:style>
  <w:style w:type="character" w:customStyle="1" w:styleId="BallontekstTeken9">
    <w:name w:val="Ballontekst Teken"/>
    <w:basedOn w:val="Standaardalinea-lettertype"/>
    <w:uiPriority w:val="99"/>
    <w:semiHidden/>
    <w:rsid w:val="00D32F94"/>
    <w:rPr>
      <w:rFonts w:ascii="Lucida Grande" w:hAnsi="Lucida Grande"/>
      <w:sz w:val="18"/>
      <w:szCs w:val="18"/>
    </w:rPr>
  </w:style>
  <w:style w:type="character" w:customStyle="1" w:styleId="BallontekstTekena">
    <w:name w:val="Ballontekst Teken"/>
    <w:basedOn w:val="Standaardalinea-lettertype"/>
    <w:uiPriority w:val="99"/>
    <w:semiHidden/>
    <w:rsid w:val="00017CB9"/>
    <w:rPr>
      <w:rFonts w:ascii="Lucida Grande" w:hAnsi="Lucida Grande"/>
      <w:sz w:val="18"/>
      <w:szCs w:val="18"/>
    </w:rPr>
  </w:style>
  <w:style w:type="character" w:customStyle="1" w:styleId="BallontekstTekenb">
    <w:name w:val="Ballontekst Teken"/>
    <w:basedOn w:val="Standaardalinea-lettertype"/>
    <w:uiPriority w:val="99"/>
    <w:semiHidden/>
    <w:rsid w:val="00017CB9"/>
    <w:rPr>
      <w:rFonts w:ascii="Lucida Grande" w:hAnsi="Lucida Grande"/>
      <w:sz w:val="18"/>
      <w:szCs w:val="18"/>
    </w:rPr>
  </w:style>
  <w:style w:type="character" w:customStyle="1" w:styleId="BallontekstTekenc">
    <w:name w:val="Ballontekst Teken"/>
    <w:basedOn w:val="Standaardalinea-lettertype"/>
    <w:uiPriority w:val="99"/>
    <w:semiHidden/>
    <w:rsid w:val="00017CB9"/>
    <w:rPr>
      <w:rFonts w:ascii="Lucida Grande" w:hAnsi="Lucida Grande"/>
      <w:sz w:val="18"/>
      <w:szCs w:val="18"/>
    </w:rPr>
  </w:style>
  <w:style w:type="character" w:customStyle="1" w:styleId="BallontekstTekend">
    <w:name w:val="Ballontekst Teken"/>
    <w:basedOn w:val="Standaardalinea-lettertype"/>
    <w:uiPriority w:val="99"/>
    <w:semiHidden/>
    <w:rsid w:val="00017CB9"/>
    <w:rPr>
      <w:rFonts w:ascii="Lucida Grande" w:hAnsi="Lucida Grande"/>
      <w:sz w:val="18"/>
      <w:szCs w:val="18"/>
    </w:rPr>
  </w:style>
  <w:style w:type="character" w:customStyle="1" w:styleId="BallontekstTekene">
    <w:name w:val="Ballontekst Teken"/>
    <w:basedOn w:val="Standaardalinea-lettertype"/>
    <w:uiPriority w:val="99"/>
    <w:semiHidden/>
    <w:rsid w:val="00017CB9"/>
    <w:rPr>
      <w:rFonts w:ascii="Lucida Grande" w:hAnsi="Lucida Grande"/>
      <w:sz w:val="18"/>
      <w:szCs w:val="18"/>
    </w:rPr>
  </w:style>
  <w:style w:type="character" w:customStyle="1" w:styleId="BallontekstTekenf">
    <w:name w:val="Ballontekst Teken"/>
    <w:basedOn w:val="Standaardalinea-lettertype"/>
    <w:uiPriority w:val="99"/>
    <w:semiHidden/>
    <w:rsid w:val="00017CB9"/>
    <w:rPr>
      <w:rFonts w:ascii="Lucida Grande" w:hAnsi="Lucida Grande"/>
      <w:sz w:val="18"/>
      <w:szCs w:val="18"/>
    </w:rPr>
  </w:style>
  <w:style w:type="character" w:customStyle="1" w:styleId="BallontekstTekenf0">
    <w:name w:val="Ballontekst Teken"/>
    <w:basedOn w:val="Standaardalinea-lettertype"/>
    <w:uiPriority w:val="99"/>
    <w:semiHidden/>
    <w:rsid w:val="00017CB9"/>
    <w:rPr>
      <w:rFonts w:ascii="Lucida Grande" w:hAnsi="Lucida Grande"/>
      <w:sz w:val="18"/>
      <w:szCs w:val="18"/>
    </w:rPr>
  </w:style>
  <w:style w:type="character" w:customStyle="1" w:styleId="BallontekstTekenf1">
    <w:name w:val="Ballontekst Teken"/>
    <w:basedOn w:val="Standaardalinea-lettertype"/>
    <w:uiPriority w:val="99"/>
    <w:semiHidden/>
    <w:rsid w:val="00263934"/>
    <w:rPr>
      <w:rFonts w:ascii="Lucida Grande" w:hAnsi="Lucida Grande"/>
      <w:sz w:val="18"/>
      <w:szCs w:val="18"/>
    </w:rPr>
  </w:style>
  <w:style w:type="character" w:customStyle="1" w:styleId="BallontekstTekenf2">
    <w:name w:val="Ballontekst Teken"/>
    <w:basedOn w:val="Standaardalinea-lettertype"/>
    <w:uiPriority w:val="99"/>
    <w:semiHidden/>
    <w:rsid w:val="00000E95"/>
    <w:rPr>
      <w:rFonts w:ascii="Lucida Grande" w:hAnsi="Lucida Grande"/>
      <w:sz w:val="18"/>
      <w:szCs w:val="18"/>
    </w:rPr>
  </w:style>
  <w:style w:type="character" w:customStyle="1" w:styleId="BallontekstTekenf3">
    <w:name w:val="Ballontekst Teken"/>
    <w:basedOn w:val="Standaardalinea-lettertype"/>
    <w:uiPriority w:val="99"/>
    <w:semiHidden/>
    <w:rsid w:val="00000E95"/>
    <w:rPr>
      <w:rFonts w:ascii="Lucida Grande" w:hAnsi="Lucida Grande"/>
      <w:sz w:val="18"/>
      <w:szCs w:val="18"/>
    </w:rPr>
  </w:style>
  <w:style w:type="character" w:customStyle="1" w:styleId="BallontekstTekenf4">
    <w:name w:val="Ballontekst Teken"/>
    <w:basedOn w:val="Standaardalinea-lettertype"/>
    <w:uiPriority w:val="99"/>
    <w:semiHidden/>
    <w:rsid w:val="00000E95"/>
    <w:rPr>
      <w:rFonts w:ascii="Lucida Grande" w:hAnsi="Lucida Grande"/>
      <w:sz w:val="18"/>
      <w:szCs w:val="18"/>
    </w:rPr>
  </w:style>
  <w:style w:type="character" w:customStyle="1" w:styleId="BallontekstTekenf5">
    <w:name w:val="Ballontekst Teken"/>
    <w:basedOn w:val="Standaardalinea-lettertype"/>
    <w:uiPriority w:val="99"/>
    <w:semiHidden/>
    <w:rsid w:val="00000E95"/>
    <w:rPr>
      <w:rFonts w:ascii="Lucida Grande" w:hAnsi="Lucida Grande"/>
      <w:sz w:val="18"/>
      <w:szCs w:val="18"/>
    </w:rPr>
  </w:style>
  <w:style w:type="character" w:customStyle="1" w:styleId="BallontekstTekenf6">
    <w:name w:val="Ballontekst Teken"/>
    <w:basedOn w:val="Standaardalinea-lettertype"/>
    <w:uiPriority w:val="99"/>
    <w:semiHidden/>
    <w:rsid w:val="00000E95"/>
    <w:rPr>
      <w:rFonts w:ascii="Lucida Grande" w:hAnsi="Lucida Grande"/>
      <w:sz w:val="18"/>
      <w:szCs w:val="18"/>
    </w:rPr>
  </w:style>
  <w:style w:type="character" w:customStyle="1" w:styleId="BallontekstTekenf7">
    <w:name w:val="Ballontekst Teken"/>
    <w:basedOn w:val="Standaardalinea-lettertype"/>
    <w:uiPriority w:val="99"/>
    <w:semiHidden/>
    <w:rsid w:val="00000E95"/>
    <w:rPr>
      <w:rFonts w:ascii="Lucida Grande" w:hAnsi="Lucida Grande"/>
      <w:sz w:val="18"/>
      <w:szCs w:val="18"/>
    </w:rPr>
  </w:style>
  <w:style w:type="character" w:customStyle="1" w:styleId="BallontekstTekenf8">
    <w:name w:val="Ballontekst Teken"/>
    <w:basedOn w:val="Standaardalinea-lettertype"/>
    <w:uiPriority w:val="99"/>
    <w:semiHidden/>
    <w:rsid w:val="00000E95"/>
    <w:rPr>
      <w:rFonts w:ascii="Lucida Grande" w:hAnsi="Lucida Grande"/>
      <w:sz w:val="18"/>
      <w:szCs w:val="18"/>
    </w:rPr>
  </w:style>
  <w:style w:type="character" w:customStyle="1" w:styleId="BallontekstTekenf9">
    <w:name w:val="Ballontekst Teken"/>
    <w:basedOn w:val="Standaardalinea-lettertype"/>
    <w:uiPriority w:val="99"/>
    <w:semiHidden/>
    <w:rsid w:val="00000E95"/>
    <w:rPr>
      <w:rFonts w:ascii="Lucida Grande" w:hAnsi="Lucida Grande"/>
      <w:sz w:val="18"/>
      <w:szCs w:val="18"/>
    </w:rPr>
  </w:style>
  <w:style w:type="character" w:customStyle="1" w:styleId="BallontekstTekenfa">
    <w:name w:val="Ballontekst Teken"/>
    <w:basedOn w:val="Standaardalinea-lettertype"/>
    <w:uiPriority w:val="99"/>
    <w:semiHidden/>
    <w:rsid w:val="00000E95"/>
    <w:rPr>
      <w:rFonts w:ascii="Lucida Grande" w:hAnsi="Lucida Grande"/>
      <w:sz w:val="18"/>
      <w:szCs w:val="18"/>
    </w:rPr>
  </w:style>
  <w:style w:type="character" w:customStyle="1" w:styleId="BallontekstTekenfb">
    <w:name w:val="Ballontekst Teken"/>
    <w:basedOn w:val="Standaardalinea-lettertype"/>
    <w:uiPriority w:val="99"/>
    <w:semiHidden/>
    <w:rsid w:val="0027435F"/>
    <w:rPr>
      <w:rFonts w:ascii="Lucida Grande" w:hAnsi="Lucida Grande"/>
      <w:sz w:val="18"/>
      <w:szCs w:val="18"/>
    </w:rPr>
  </w:style>
  <w:style w:type="character" w:customStyle="1" w:styleId="Kop1Teken">
    <w:name w:val="Kop 1 Teken"/>
    <w:basedOn w:val="Standaardalinea-lettertype"/>
    <w:link w:val="Kop1"/>
    <w:rsid w:val="0038425A"/>
    <w:rPr>
      <w:rFonts w:asciiTheme="majorHAnsi" w:eastAsiaTheme="majorEastAsia" w:hAnsiTheme="majorHAnsi" w:cstheme="majorBidi"/>
      <w:b/>
      <w:bCs/>
      <w:color w:val="CC0068"/>
      <w:sz w:val="32"/>
      <w:szCs w:val="28"/>
    </w:rPr>
  </w:style>
  <w:style w:type="character" w:customStyle="1" w:styleId="Kop2Teken">
    <w:name w:val="Kop 2 Teken"/>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Teken">
    <w:name w:val="Kop 3 Teken"/>
    <w:basedOn w:val="Standaardalinea-lettertype"/>
    <w:link w:val="Kop3"/>
    <w:rsid w:val="0038425A"/>
    <w:rPr>
      <w:rFonts w:asciiTheme="majorHAnsi" w:eastAsiaTheme="majorEastAsia" w:hAnsiTheme="majorHAnsi" w:cstheme="majorBidi"/>
      <w:b/>
      <w:bCs/>
      <w:color w:val="DA5C21"/>
    </w:rPr>
  </w:style>
  <w:style w:type="character" w:customStyle="1" w:styleId="Kop4Teken">
    <w:name w:val="Kop 4 Teken"/>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Teken">
    <w:name w:val="Kop 5 Teken"/>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Teken">
    <w:name w:val="Kop 6 Teken"/>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Teken">
    <w:name w:val="Kop 7 Teken"/>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Teken">
    <w:name w:val="Kop 8 Teken"/>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Teken">
    <w:name w:val="Kop 9 Teken"/>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Normaal"/>
    <w:next w:val="Normaal"/>
    <w:link w:val="TitelTeken"/>
    <w:uiPriority w:val="10"/>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Teken">
    <w:name w:val="Titel Teken"/>
    <w:basedOn w:val="Standaardalinea-lettertype"/>
    <w:link w:val="Titel"/>
    <w:uiPriority w:val="10"/>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20"/>
    <w:qFormat/>
    <w:rsid w:val="0038425A"/>
    <w:rPr>
      <w:rFonts w:ascii="Verdana" w:hAnsi="Verdana"/>
      <w:i/>
      <w:iCs/>
      <w:color w:val="DA5C21"/>
      <w:sz w:val="32"/>
    </w:rPr>
  </w:style>
  <w:style w:type="paragraph" w:styleId="Koptekst">
    <w:name w:val="header"/>
    <w:basedOn w:val="Normaal"/>
    <w:link w:val="KoptekstTeken"/>
    <w:uiPriority w:val="99"/>
    <w:unhideWhenUsed/>
    <w:rsid w:val="0038425A"/>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38425A"/>
  </w:style>
  <w:style w:type="paragraph" w:styleId="Voettekst">
    <w:name w:val="footer"/>
    <w:basedOn w:val="Normaal"/>
    <w:link w:val="VoettekstTeken"/>
    <w:uiPriority w:val="99"/>
    <w:unhideWhenUsed/>
    <w:rsid w:val="0038425A"/>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38425A"/>
  </w:style>
  <w:style w:type="character" w:customStyle="1" w:styleId="BallontekstTeken1">
    <w:name w:val="Ballontekst Teken1"/>
    <w:basedOn w:val="Standaardalinea-lettertype"/>
    <w:link w:val="Ballontekst"/>
    <w:rsid w:val="0038425A"/>
    <w:rPr>
      <w:rFonts w:ascii="Tahoma" w:hAnsi="Tahoma" w:cs="Tahoma"/>
      <w:sz w:val="16"/>
      <w:szCs w:val="16"/>
    </w:rPr>
  </w:style>
  <w:style w:type="paragraph" w:styleId="Kopvaninhoudsopgave">
    <w:name w:val="TOC Heading"/>
    <w:basedOn w:val="Kop1"/>
    <w:next w:val="Normaal"/>
    <w:uiPriority w:val="39"/>
    <w:unhideWhenUsed/>
    <w:qFormat/>
    <w:rsid w:val="0038425A"/>
    <w:pPr>
      <w:numPr>
        <w:numId w:val="0"/>
      </w:numPr>
      <w:outlineLvl w:val="9"/>
    </w:pPr>
    <w:rPr>
      <w:color w:val="365F91" w:themeColor="accent1" w:themeShade="BF"/>
      <w:sz w:val="28"/>
    </w:rPr>
  </w:style>
  <w:style w:type="paragraph" w:styleId="Inhopg1">
    <w:name w:val="toc 1"/>
    <w:basedOn w:val="Normaal"/>
    <w:next w:val="Normaal"/>
    <w:autoRedefine/>
    <w:uiPriority w:val="39"/>
    <w:unhideWhenUsed/>
    <w:rsid w:val="0038425A"/>
    <w:pPr>
      <w:spacing w:after="100"/>
    </w:pPr>
  </w:style>
  <w:style w:type="paragraph" w:styleId="Inhopg2">
    <w:name w:val="toc 2"/>
    <w:basedOn w:val="Normaal"/>
    <w:next w:val="Normaal"/>
    <w:autoRedefine/>
    <w:uiPriority w:val="39"/>
    <w:unhideWhenUsed/>
    <w:rsid w:val="0038425A"/>
    <w:pPr>
      <w:spacing w:after="100"/>
      <w:ind w:left="220"/>
    </w:pPr>
  </w:style>
  <w:style w:type="paragraph" w:styleId="Inhopg3">
    <w:name w:val="toc 3"/>
    <w:basedOn w:val="Normaal"/>
    <w:next w:val="Normaal"/>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character" w:styleId="Paginanummer">
    <w:name w:val="page number"/>
    <w:basedOn w:val="Standaardalinea-lettertype"/>
    <w:uiPriority w:val="99"/>
    <w:semiHidden/>
    <w:unhideWhenUsed/>
    <w:rsid w:val="00683684"/>
  </w:style>
  <w:style w:type="paragraph" w:styleId="Lijstalinea">
    <w:name w:val="List Paragraph"/>
    <w:basedOn w:val="Normaal"/>
    <w:uiPriority w:val="34"/>
    <w:qFormat/>
    <w:rsid w:val="00683684"/>
    <w:pPr>
      <w:spacing w:after="0" w:line="240" w:lineRule="auto"/>
      <w:ind w:left="720"/>
      <w:contextualSpacing/>
    </w:pPr>
    <w:rPr>
      <w:sz w:val="24"/>
      <w:szCs w:val="24"/>
    </w:rPr>
  </w:style>
  <w:style w:type="character" w:styleId="Verwijzingopmerking">
    <w:name w:val="annotation reference"/>
    <w:basedOn w:val="Standaardalinea-lettertype"/>
    <w:rsid w:val="00683684"/>
    <w:rPr>
      <w:sz w:val="16"/>
      <w:szCs w:val="16"/>
    </w:rPr>
  </w:style>
  <w:style w:type="paragraph" w:styleId="Tekstopmerking">
    <w:name w:val="annotation text"/>
    <w:basedOn w:val="Normaal"/>
    <w:link w:val="TekstopmerkingTeken"/>
    <w:rsid w:val="00683684"/>
    <w:pPr>
      <w:spacing w:after="0" w:line="240" w:lineRule="auto"/>
    </w:pPr>
    <w:rPr>
      <w:sz w:val="20"/>
      <w:szCs w:val="20"/>
    </w:rPr>
  </w:style>
  <w:style w:type="character" w:customStyle="1" w:styleId="TekstopmerkingTeken">
    <w:name w:val="Tekst opmerking Teken"/>
    <w:basedOn w:val="Standaardalinea-lettertype"/>
    <w:link w:val="Tekstopmerking"/>
    <w:rsid w:val="00683684"/>
    <w:rPr>
      <w:sz w:val="20"/>
      <w:szCs w:val="20"/>
    </w:rPr>
  </w:style>
  <w:style w:type="paragraph" w:styleId="Onderwerpvanopmerking">
    <w:name w:val="annotation subject"/>
    <w:basedOn w:val="Tekstopmerking"/>
    <w:next w:val="Tekstopmerking"/>
    <w:link w:val="OnderwerpvanopmerkingTeken"/>
    <w:rsid w:val="00683684"/>
    <w:rPr>
      <w:b/>
      <w:bCs/>
    </w:rPr>
  </w:style>
  <w:style w:type="character" w:customStyle="1" w:styleId="OnderwerpvanopmerkingTeken">
    <w:name w:val="Onderwerp van opmerking Teken"/>
    <w:basedOn w:val="TekstopmerkingTeken"/>
    <w:link w:val="Onderwerpvanopmerking"/>
    <w:rsid w:val="00683684"/>
    <w:rPr>
      <w:b/>
      <w:bCs/>
      <w:sz w:val="20"/>
      <w:szCs w:val="20"/>
    </w:rPr>
  </w:style>
  <w:style w:type="table" w:styleId="Tabelraster">
    <w:name w:val="Table Grid"/>
    <w:basedOn w:val="Standaardtabel"/>
    <w:rsid w:val="00683684"/>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oetnoottekst">
    <w:name w:val="footnote text"/>
    <w:basedOn w:val="Normaal"/>
    <w:link w:val="VoetnoottekstTeken"/>
    <w:rsid w:val="00683684"/>
    <w:pPr>
      <w:spacing w:after="0" w:line="240" w:lineRule="auto"/>
    </w:pPr>
    <w:rPr>
      <w:sz w:val="24"/>
      <w:szCs w:val="24"/>
    </w:rPr>
  </w:style>
  <w:style w:type="character" w:customStyle="1" w:styleId="VoetnoottekstTeken">
    <w:name w:val="Voetnoottekst Teken"/>
    <w:basedOn w:val="Standaardalinea-lettertype"/>
    <w:link w:val="Voetnoottekst"/>
    <w:rsid w:val="00683684"/>
    <w:rPr>
      <w:sz w:val="24"/>
      <w:szCs w:val="24"/>
    </w:rPr>
  </w:style>
  <w:style w:type="character" w:styleId="Voetnootmarkering">
    <w:name w:val="footnote reference"/>
    <w:basedOn w:val="Standaardalinea-lettertype"/>
    <w:rsid w:val="00683684"/>
    <w:rPr>
      <w:vertAlign w:val="superscript"/>
    </w:rPr>
  </w:style>
  <w:style w:type="paragraph" w:styleId="Index1">
    <w:name w:val="index 1"/>
    <w:basedOn w:val="Normaal"/>
    <w:next w:val="Normaal"/>
    <w:autoRedefine/>
    <w:uiPriority w:val="99"/>
    <w:rsid w:val="00683684"/>
    <w:pPr>
      <w:spacing w:after="0" w:line="240" w:lineRule="auto"/>
      <w:ind w:left="240" w:hanging="240"/>
    </w:pPr>
    <w:rPr>
      <w:sz w:val="24"/>
      <w:szCs w:val="24"/>
    </w:rPr>
  </w:style>
  <w:style w:type="paragraph" w:styleId="Inhopg4">
    <w:name w:val="toc 4"/>
    <w:basedOn w:val="Normaal"/>
    <w:next w:val="Normaal"/>
    <w:autoRedefine/>
    <w:uiPriority w:val="39"/>
    <w:rsid w:val="00683684"/>
    <w:pPr>
      <w:spacing w:after="0" w:line="240" w:lineRule="auto"/>
    </w:pPr>
  </w:style>
  <w:style w:type="paragraph" w:styleId="Inhopg5">
    <w:name w:val="toc 5"/>
    <w:basedOn w:val="Normaal"/>
    <w:next w:val="Normaal"/>
    <w:autoRedefine/>
    <w:uiPriority w:val="39"/>
    <w:rsid w:val="00683684"/>
    <w:pPr>
      <w:spacing w:after="0" w:line="240" w:lineRule="auto"/>
    </w:pPr>
  </w:style>
  <w:style w:type="paragraph" w:styleId="Inhopg6">
    <w:name w:val="toc 6"/>
    <w:basedOn w:val="Normaal"/>
    <w:next w:val="Normaal"/>
    <w:autoRedefine/>
    <w:uiPriority w:val="39"/>
    <w:rsid w:val="00683684"/>
    <w:pPr>
      <w:spacing w:after="0" w:line="240" w:lineRule="auto"/>
    </w:pPr>
  </w:style>
  <w:style w:type="paragraph" w:styleId="Inhopg7">
    <w:name w:val="toc 7"/>
    <w:basedOn w:val="Normaal"/>
    <w:next w:val="Normaal"/>
    <w:autoRedefine/>
    <w:uiPriority w:val="39"/>
    <w:rsid w:val="00683684"/>
    <w:pPr>
      <w:spacing w:after="0" w:line="240" w:lineRule="auto"/>
    </w:pPr>
  </w:style>
  <w:style w:type="paragraph" w:styleId="Inhopg8">
    <w:name w:val="toc 8"/>
    <w:basedOn w:val="Normaal"/>
    <w:next w:val="Normaal"/>
    <w:autoRedefine/>
    <w:uiPriority w:val="39"/>
    <w:rsid w:val="00683684"/>
    <w:pPr>
      <w:spacing w:after="0" w:line="240" w:lineRule="auto"/>
    </w:pPr>
  </w:style>
  <w:style w:type="paragraph" w:styleId="Inhopg9">
    <w:name w:val="toc 9"/>
    <w:basedOn w:val="Normaal"/>
    <w:next w:val="Normaal"/>
    <w:autoRedefine/>
    <w:uiPriority w:val="39"/>
    <w:rsid w:val="00683684"/>
    <w:pPr>
      <w:spacing w:after="0" w:line="240" w:lineRule="auto"/>
    </w:pPr>
  </w:style>
  <w:style w:type="character" w:styleId="GevolgdeHyperlink">
    <w:name w:val="FollowedHyperlink"/>
    <w:basedOn w:val="Standaardalinea-lettertype"/>
    <w:uiPriority w:val="99"/>
    <w:semiHidden/>
    <w:unhideWhenUsed/>
    <w:rsid w:val="00C609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yperlink" Target="http://www.stelselhandboek.nl" TargetMode="External"/><Relationship Id="rId21" Type="http://schemas.openxmlformats.org/officeDocument/2006/relationships/hyperlink" Target="http://www.BPMI.org" TargetMode="External"/><Relationship Id="rId22" Type="http://schemas.openxmlformats.org/officeDocument/2006/relationships/image" Target="media/image11.jpe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yperlink" Target="http://www.BPMI.org" TargetMode="External"/><Relationship Id="rId17" Type="http://schemas.openxmlformats.org/officeDocument/2006/relationships/image" Target="media/image8.png"/><Relationship Id="rId18" Type="http://schemas.openxmlformats.org/officeDocument/2006/relationships/image" Target="media/image9.emf"/><Relationship Id="rId19" Type="http://schemas.openxmlformats.org/officeDocument/2006/relationships/image" Target="media/image10.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hyperlink" Target="http://www.kinggemeenten.nl/" TargetMode="External"/><Relationship Id="rId2" Type="http://schemas.openxmlformats.org/officeDocument/2006/relationships/image" Target="media/image12.gi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ansschrijver:Documents:x-Infiolyse:BAG%20en%20VNG:Procesbeschrijvingen%20BAG-GBA: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B4F85-EC85-B04E-91EF-6208D77F8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v2.dotx</Template>
  <TotalTime>0</TotalTime>
  <Pages>35</Pages>
  <Words>9526</Words>
  <Characters>52399</Characters>
  <Application>Microsoft Macintosh Word</Application>
  <DocSecurity>0</DocSecurity>
  <Lines>436</Lines>
  <Paragraphs>123</Paragraphs>
  <ScaleCrop>false</ScaleCrop>
  <Company>VNG</Company>
  <LinksUpToDate>false</LinksUpToDate>
  <CharactersWithSpaces>61802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Schrijver</dc:creator>
  <cp:keywords/>
  <dc:description/>
  <cp:lastModifiedBy>Pieter Goossen</cp:lastModifiedBy>
  <cp:revision>2</cp:revision>
  <cp:lastPrinted>2011-02-18T09:02:00Z</cp:lastPrinted>
  <dcterms:created xsi:type="dcterms:W3CDTF">2013-02-12T09:24:00Z</dcterms:created>
  <dcterms:modified xsi:type="dcterms:W3CDTF">2013-02-12T09:24:00Z</dcterms:modified>
</cp:coreProperties>
</file>